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A19" w:rsidRDefault="00321A19" w:rsidP="00321A19">
      <w:pPr>
        <w:pStyle w:val="OMBInfo"/>
      </w:pPr>
      <w:bookmarkStart w:id="0" w:name="_GoBack"/>
      <w:bookmarkEnd w:id="0"/>
      <w:r>
        <w:t>OMB No. 0925-0001/0002 (Rev. 08/12 Approved Through 8/31/2015)</w:t>
      </w:r>
    </w:p>
    <w:p w:rsidR="002B7443" w:rsidRPr="006E6FB5" w:rsidRDefault="002B7443" w:rsidP="006E6FB5">
      <w:pPr>
        <w:pStyle w:val="Title"/>
      </w:pPr>
      <w:r w:rsidRPr="006E6FB5">
        <w:t>BIOGRAPHICAL SKETCH</w:t>
      </w:r>
    </w:p>
    <w:p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rsidR="002B7443" w:rsidRPr="00D3779E" w:rsidRDefault="002B7443" w:rsidP="002B7443">
      <w:pPr>
        <w:pStyle w:val="FormFieldCaption1"/>
        <w:pBdr>
          <w:between w:val="single" w:sz="4" w:space="1" w:color="auto"/>
        </w:pBdr>
        <w:rPr>
          <w:sz w:val="32"/>
        </w:rPr>
      </w:pPr>
      <w:r w:rsidRPr="00D3779E">
        <w:rPr>
          <w:sz w:val="22"/>
        </w:rPr>
        <w:t>NAME:</w:t>
      </w:r>
      <w:r w:rsidR="0051007D">
        <w:rPr>
          <w:sz w:val="22"/>
        </w:rPr>
        <w:t xml:space="preserve"> </w:t>
      </w:r>
      <w:r w:rsidR="008E3843">
        <w:rPr>
          <w:sz w:val="22"/>
        </w:rPr>
        <w:t xml:space="preserve">   </w:t>
      </w:r>
      <w:r w:rsidR="006D2896">
        <w:rPr>
          <w:sz w:val="22"/>
        </w:rPr>
        <w:t>Prigge, Sean</w:t>
      </w:r>
    </w:p>
    <w:p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8E3843">
        <w:rPr>
          <w:sz w:val="22"/>
        </w:rPr>
        <w:t xml:space="preserve">  </w:t>
      </w:r>
      <w:r w:rsidR="0051007D">
        <w:rPr>
          <w:sz w:val="22"/>
        </w:rPr>
        <w:t xml:space="preserve"> </w:t>
      </w:r>
      <w:r w:rsidR="006D2896">
        <w:rPr>
          <w:sz w:val="22"/>
        </w:rPr>
        <w:t xml:space="preserve"> </w:t>
      </w:r>
      <w:proofErr w:type="spellStart"/>
      <w:r w:rsidR="006D2896">
        <w:rPr>
          <w:sz w:val="22"/>
        </w:rPr>
        <w:t>sprigge</w:t>
      </w:r>
      <w:proofErr w:type="spellEnd"/>
      <w:r w:rsidR="0051007D">
        <w:rPr>
          <w:sz w:val="22"/>
        </w:rPr>
        <w:tab/>
      </w:r>
    </w:p>
    <w:p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8E3843">
        <w:rPr>
          <w:sz w:val="22"/>
        </w:rPr>
        <w:t xml:space="preserve">    </w:t>
      </w:r>
      <w:r w:rsidR="0051007D">
        <w:rPr>
          <w:sz w:val="22"/>
        </w:rPr>
        <w:t>Professor</w:t>
      </w:r>
    </w:p>
    <w:p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490"/>
        <w:gridCol w:w="1314"/>
        <w:gridCol w:w="1440"/>
        <w:gridCol w:w="2592"/>
      </w:tblGrid>
      <w:tr w:rsidR="00933173" w:rsidRPr="00D3779E" w:rsidTr="0051007D">
        <w:trPr>
          <w:cantSplit/>
          <w:tblHeader/>
        </w:trPr>
        <w:tc>
          <w:tcPr>
            <w:tcW w:w="5490"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INSTITUTION AND LOCATION</w:t>
            </w:r>
          </w:p>
        </w:tc>
        <w:tc>
          <w:tcPr>
            <w:tcW w:w="1314"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DEGREE</w:t>
            </w:r>
          </w:p>
          <w:p w:rsidR="00933173" w:rsidRPr="00D3779E" w:rsidRDefault="00933173" w:rsidP="000B5732">
            <w:pPr>
              <w:pStyle w:val="FormFieldCaption"/>
              <w:jc w:val="center"/>
              <w:rPr>
                <w:rStyle w:val="Emphasis"/>
                <w:sz w:val="22"/>
              </w:rPr>
            </w:pPr>
            <w:r w:rsidRPr="00D3779E">
              <w:rPr>
                <w:rStyle w:val="Emphasis"/>
                <w:sz w:val="22"/>
              </w:rPr>
              <w:t>(if applicable)</w:t>
            </w:r>
          </w:p>
          <w:p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rsidR="00C1247F" w:rsidRPr="00D3779E" w:rsidRDefault="00C1247F" w:rsidP="000B5732">
            <w:pPr>
              <w:pStyle w:val="FormFieldCaption"/>
              <w:jc w:val="center"/>
              <w:rPr>
                <w:sz w:val="22"/>
              </w:rPr>
            </w:pPr>
            <w:r w:rsidRPr="00D3779E">
              <w:rPr>
                <w:sz w:val="22"/>
              </w:rPr>
              <w:t>Completion Date</w:t>
            </w:r>
          </w:p>
          <w:p w:rsidR="00933173" w:rsidRPr="00D3779E" w:rsidRDefault="00933173" w:rsidP="000B5732">
            <w:pPr>
              <w:pStyle w:val="FormFieldCaption"/>
              <w:jc w:val="center"/>
              <w:rPr>
                <w:sz w:val="22"/>
              </w:rPr>
            </w:pPr>
            <w:r w:rsidRPr="00D3779E">
              <w:rPr>
                <w:sz w:val="22"/>
              </w:rPr>
              <w:t>MM/YYYY</w:t>
            </w:r>
          </w:p>
          <w:p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rsidR="00933173" w:rsidRPr="00D3779E" w:rsidRDefault="00933173" w:rsidP="000B5732">
            <w:pPr>
              <w:pStyle w:val="FormFieldCaption"/>
              <w:jc w:val="center"/>
              <w:rPr>
                <w:sz w:val="22"/>
              </w:rPr>
            </w:pPr>
            <w:r w:rsidRPr="00D3779E">
              <w:rPr>
                <w:sz w:val="22"/>
              </w:rPr>
              <w:t>FIELD OF STUDY</w:t>
            </w:r>
          </w:p>
          <w:p w:rsidR="00933173" w:rsidRPr="00D3779E" w:rsidRDefault="00933173" w:rsidP="000B5732">
            <w:pPr>
              <w:pStyle w:val="FormFieldCaption"/>
              <w:rPr>
                <w:sz w:val="22"/>
              </w:rPr>
            </w:pPr>
          </w:p>
        </w:tc>
      </w:tr>
      <w:tr w:rsidR="00933173" w:rsidRPr="00D3779E" w:rsidTr="0051007D">
        <w:trPr>
          <w:cantSplit/>
          <w:trHeight w:val="395"/>
        </w:trPr>
        <w:tc>
          <w:tcPr>
            <w:tcW w:w="5490" w:type="dxa"/>
            <w:tcBorders>
              <w:top w:val="single" w:sz="4" w:space="0" w:color="auto"/>
            </w:tcBorders>
          </w:tcPr>
          <w:p w:rsidR="00933173" w:rsidRDefault="006D2896" w:rsidP="00BB1BA1">
            <w:pPr>
              <w:pStyle w:val="FormFieldCaption"/>
              <w:spacing w:before="120"/>
              <w:rPr>
                <w:sz w:val="22"/>
                <w:szCs w:val="22"/>
              </w:rPr>
            </w:pPr>
            <w:r>
              <w:rPr>
                <w:sz w:val="22"/>
                <w:szCs w:val="22"/>
              </w:rPr>
              <w:t>Amherst College</w:t>
            </w:r>
          </w:p>
          <w:p w:rsidR="00E6769E" w:rsidRPr="0051007D" w:rsidRDefault="006D2896" w:rsidP="00BB1BA1">
            <w:pPr>
              <w:pStyle w:val="FormFieldCaption"/>
              <w:spacing w:before="120"/>
              <w:rPr>
                <w:sz w:val="22"/>
                <w:szCs w:val="22"/>
              </w:rPr>
            </w:pPr>
            <w:r>
              <w:rPr>
                <w:sz w:val="22"/>
                <w:szCs w:val="22"/>
              </w:rPr>
              <w:t>Johns Hopkins School of Medicine</w:t>
            </w:r>
          </w:p>
        </w:tc>
        <w:tc>
          <w:tcPr>
            <w:tcW w:w="1314" w:type="dxa"/>
            <w:tcBorders>
              <w:top w:val="single" w:sz="4" w:space="0" w:color="auto"/>
            </w:tcBorders>
          </w:tcPr>
          <w:p w:rsidR="00933173" w:rsidRDefault="00E6769E" w:rsidP="00BB1BA1">
            <w:pPr>
              <w:pStyle w:val="FormFieldCaption"/>
              <w:spacing w:before="120"/>
              <w:rPr>
                <w:sz w:val="22"/>
                <w:szCs w:val="22"/>
              </w:rPr>
            </w:pPr>
            <w:r>
              <w:rPr>
                <w:sz w:val="22"/>
                <w:szCs w:val="22"/>
              </w:rPr>
              <w:t>B.A.</w:t>
            </w:r>
          </w:p>
          <w:p w:rsidR="00E6769E" w:rsidRPr="00E6769E" w:rsidRDefault="00E6769E" w:rsidP="00BB1BA1">
            <w:pPr>
              <w:pStyle w:val="FormFieldCaption"/>
              <w:spacing w:before="120"/>
              <w:rPr>
                <w:sz w:val="22"/>
                <w:szCs w:val="22"/>
              </w:rPr>
            </w:pPr>
            <w:r>
              <w:rPr>
                <w:sz w:val="22"/>
                <w:szCs w:val="22"/>
              </w:rPr>
              <w:t>Ph.D.</w:t>
            </w:r>
          </w:p>
        </w:tc>
        <w:tc>
          <w:tcPr>
            <w:tcW w:w="1440" w:type="dxa"/>
            <w:tcBorders>
              <w:top w:val="single" w:sz="4" w:space="0" w:color="auto"/>
            </w:tcBorders>
          </w:tcPr>
          <w:p w:rsidR="00933173" w:rsidRDefault="006D2896" w:rsidP="00BB1BA1">
            <w:pPr>
              <w:pStyle w:val="FormFieldCaption"/>
              <w:spacing w:before="120"/>
              <w:rPr>
                <w:sz w:val="22"/>
                <w:szCs w:val="22"/>
              </w:rPr>
            </w:pPr>
            <w:r>
              <w:rPr>
                <w:sz w:val="22"/>
                <w:szCs w:val="22"/>
              </w:rPr>
              <w:t>1991</w:t>
            </w:r>
          </w:p>
          <w:p w:rsidR="00E6769E" w:rsidRPr="00E6769E" w:rsidRDefault="006D2896" w:rsidP="00BB1BA1">
            <w:pPr>
              <w:pStyle w:val="FormFieldCaption"/>
              <w:spacing w:before="120"/>
              <w:rPr>
                <w:sz w:val="22"/>
                <w:szCs w:val="22"/>
              </w:rPr>
            </w:pPr>
            <w:r>
              <w:rPr>
                <w:sz w:val="22"/>
                <w:szCs w:val="22"/>
              </w:rPr>
              <w:t>1997</w:t>
            </w:r>
          </w:p>
        </w:tc>
        <w:tc>
          <w:tcPr>
            <w:tcW w:w="2592" w:type="dxa"/>
            <w:tcBorders>
              <w:top w:val="single" w:sz="4" w:space="0" w:color="auto"/>
            </w:tcBorders>
          </w:tcPr>
          <w:p w:rsidR="00E6769E" w:rsidRDefault="006D2896" w:rsidP="00BB1BA1">
            <w:pPr>
              <w:pStyle w:val="FormFieldCaption"/>
              <w:spacing w:before="120"/>
              <w:rPr>
                <w:sz w:val="22"/>
                <w:szCs w:val="22"/>
              </w:rPr>
            </w:pPr>
            <w:r>
              <w:rPr>
                <w:sz w:val="22"/>
                <w:szCs w:val="22"/>
              </w:rPr>
              <w:t>Physics</w:t>
            </w:r>
          </w:p>
          <w:p w:rsidR="00480B98" w:rsidRPr="00E6769E" w:rsidRDefault="006D2896" w:rsidP="00BB1BA1">
            <w:pPr>
              <w:pStyle w:val="FormFieldCaption"/>
              <w:spacing w:before="120"/>
              <w:rPr>
                <w:sz w:val="22"/>
                <w:szCs w:val="22"/>
              </w:rPr>
            </w:pPr>
            <w:r>
              <w:rPr>
                <w:sz w:val="22"/>
                <w:szCs w:val="22"/>
              </w:rPr>
              <w:t>Biophysics</w:t>
            </w:r>
          </w:p>
        </w:tc>
      </w:tr>
    </w:tbl>
    <w:p w:rsidR="0051007D" w:rsidRDefault="0051007D" w:rsidP="005C2CF8">
      <w:pPr>
        <w:pStyle w:val="DataField11pt-Single"/>
        <w:rPr>
          <w:rStyle w:val="Strong"/>
        </w:rPr>
      </w:pPr>
    </w:p>
    <w:p w:rsidR="00E67A05" w:rsidRDefault="00971EC3" w:rsidP="00480B98">
      <w:pPr>
        <w:pStyle w:val="DataField11pt-Single"/>
        <w:numPr>
          <w:ilvl w:val="0"/>
          <w:numId w:val="19"/>
        </w:numPr>
        <w:rPr>
          <w:rStyle w:val="Strong"/>
        </w:rPr>
      </w:pPr>
      <w:r>
        <w:rPr>
          <w:rStyle w:val="Strong"/>
        </w:rPr>
        <w:t>Personal Statement</w:t>
      </w:r>
    </w:p>
    <w:p w:rsidR="00263F1B" w:rsidRDefault="00263F1B" w:rsidP="00263F1B">
      <w:pPr>
        <w:pStyle w:val="DataField11pt-Single"/>
        <w:ind w:left="360"/>
        <w:rPr>
          <w:rStyle w:val="Strong"/>
        </w:rPr>
      </w:pPr>
    </w:p>
    <w:p w:rsidR="00407613" w:rsidRPr="00407613" w:rsidRDefault="00263F1B" w:rsidP="00B41BCC">
      <w:pPr>
        <w:ind w:left="360" w:right="288"/>
        <w:jc w:val="both"/>
        <w:rPr>
          <w:rFonts w:cs="Arial"/>
          <w:szCs w:val="22"/>
        </w:rPr>
      </w:pPr>
      <w:r w:rsidRPr="00A22336">
        <w:rPr>
          <w:rFonts w:cs="Arial"/>
          <w:szCs w:val="22"/>
        </w:rPr>
        <w:t xml:space="preserve">My laboratory investigates biochemical pathways found in </w:t>
      </w:r>
      <w:r w:rsidR="009C4FFE" w:rsidRPr="00A22336">
        <w:rPr>
          <w:rFonts w:cs="Arial"/>
          <w:szCs w:val="22"/>
        </w:rPr>
        <w:t>human</w:t>
      </w:r>
      <w:r w:rsidR="00B86D3A" w:rsidRPr="00A22336">
        <w:rPr>
          <w:rFonts w:cs="Arial"/>
          <w:szCs w:val="22"/>
        </w:rPr>
        <w:t xml:space="preserve"> parasites with the goal of uncovering unique aspects of parasite metabolism.  </w:t>
      </w:r>
      <w:r w:rsidR="00576414" w:rsidRPr="00A22336">
        <w:rPr>
          <w:rFonts w:cs="Arial"/>
          <w:szCs w:val="22"/>
        </w:rPr>
        <w:t xml:space="preserve">We approach these questions with a combination of cell biology, genetic, biophysical and biochemical techniques.  We are particularly interested in the interface between host metabolism and that of the parasites during different stages of the parasite life cycle.  </w:t>
      </w:r>
      <w:r w:rsidR="00710A08" w:rsidRPr="00407613">
        <w:rPr>
          <w:rFonts w:cs="Arial"/>
          <w:szCs w:val="22"/>
        </w:rPr>
        <w:t xml:space="preserve">Recent projects </w:t>
      </w:r>
      <w:r w:rsidR="00D31B15" w:rsidRPr="00407613">
        <w:rPr>
          <w:rFonts w:cs="Arial"/>
          <w:szCs w:val="22"/>
        </w:rPr>
        <w:t xml:space="preserve">focus on host </w:t>
      </w:r>
      <w:r w:rsidR="004225DF" w:rsidRPr="00407613">
        <w:rPr>
          <w:rFonts w:cs="Arial"/>
          <w:szCs w:val="22"/>
        </w:rPr>
        <w:t xml:space="preserve">vitamins and </w:t>
      </w:r>
      <w:r w:rsidR="00D31B15" w:rsidRPr="00407613">
        <w:rPr>
          <w:rFonts w:cs="Arial"/>
          <w:szCs w:val="22"/>
        </w:rPr>
        <w:t>nutrients</w:t>
      </w:r>
      <w:r w:rsidR="004225DF" w:rsidRPr="00407613">
        <w:rPr>
          <w:rFonts w:cs="Arial"/>
          <w:szCs w:val="22"/>
        </w:rPr>
        <w:t xml:space="preserve">, particularly those thought to be critical for the function of </w:t>
      </w:r>
      <w:r w:rsidR="00373CB7" w:rsidRPr="00407613">
        <w:rPr>
          <w:rFonts w:cs="Arial"/>
          <w:szCs w:val="22"/>
        </w:rPr>
        <w:t>the</w:t>
      </w:r>
      <w:r w:rsidR="004225DF" w:rsidRPr="00407613">
        <w:rPr>
          <w:rFonts w:cs="Arial"/>
          <w:szCs w:val="22"/>
        </w:rPr>
        <w:t xml:space="preserve"> mitochondrion </w:t>
      </w:r>
      <w:r w:rsidR="00373CB7" w:rsidRPr="00407613">
        <w:rPr>
          <w:rFonts w:cs="Arial"/>
          <w:szCs w:val="22"/>
        </w:rPr>
        <w:t xml:space="preserve">and apicoplast </w:t>
      </w:r>
      <w:r w:rsidR="004225DF" w:rsidRPr="00407613">
        <w:rPr>
          <w:rFonts w:cs="Arial"/>
          <w:szCs w:val="22"/>
        </w:rPr>
        <w:t>organell</w:t>
      </w:r>
      <w:r w:rsidR="00373CB7" w:rsidRPr="00407613">
        <w:rPr>
          <w:rFonts w:cs="Arial"/>
          <w:szCs w:val="22"/>
        </w:rPr>
        <w:t>e</w:t>
      </w:r>
      <w:r w:rsidR="005A7803" w:rsidRPr="00407613">
        <w:rPr>
          <w:rFonts w:cs="Arial"/>
          <w:szCs w:val="22"/>
        </w:rPr>
        <w:t>s</w:t>
      </w:r>
      <w:r w:rsidR="00373CB7" w:rsidRPr="00407613">
        <w:rPr>
          <w:rFonts w:cs="Arial"/>
          <w:szCs w:val="22"/>
        </w:rPr>
        <w:t xml:space="preserve"> in </w:t>
      </w:r>
      <w:r w:rsidR="00A22336" w:rsidRPr="00407613">
        <w:rPr>
          <w:rFonts w:cs="Arial"/>
          <w:szCs w:val="22"/>
        </w:rPr>
        <w:t>malaria</w:t>
      </w:r>
      <w:r w:rsidR="00373CB7" w:rsidRPr="00407613">
        <w:rPr>
          <w:rFonts w:cs="Arial"/>
          <w:szCs w:val="22"/>
        </w:rPr>
        <w:t xml:space="preserve"> parasite</w:t>
      </w:r>
      <w:r w:rsidR="00A22336" w:rsidRPr="00407613">
        <w:rPr>
          <w:rFonts w:cs="Arial"/>
          <w:szCs w:val="22"/>
        </w:rPr>
        <w:t>s</w:t>
      </w:r>
      <w:r w:rsidR="004225DF" w:rsidRPr="00407613">
        <w:rPr>
          <w:rFonts w:cs="Arial"/>
          <w:szCs w:val="22"/>
        </w:rPr>
        <w:t xml:space="preserve">.  </w:t>
      </w:r>
      <w:r w:rsidR="00D31B15" w:rsidRPr="00407613">
        <w:rPr>
          <w:rFonts w:cs="Arial"/>
          <w:szCs w:val="22"/>
        </w:rPr>
        <w:t xml:space="preserve">We are interested in these </w:t>
      </w:r>
      <w:r w:rsidR="00373CB7" w:rsidRPr="00407613">
        <w:rPr>
          <w:rFonts w:cs="Arial"/>
          <w:szCs w:val="22"/>
        </w:rPr>
        <w:t xml:space="preserve">host </w:t>
      </w:r>
      <w:r w:rsidR="00710A08" w:rsidRPr="00407613">
        <w:rPr>
          <w:rFonts w:cs="Arial"/>
          <w:szCs w:val="22"/>
        </w:rPr>
        <w:t>factors, how they are acquired, how they are used, and whether they</w:t>
      </w:r>
      <w:r w:rsidR="00A22336" w:rsidRPr="00407613">
        <w:rPr>
          <w:rFonts w:cs="Arial"/>
          <w:szCs w:val="22"/>
        </w:rPr>
        <w:t xml:space="preserve"> are essential for growth during different stages of parasite development</w:t>
      </w:r>
      <w:r w:rsidR="00710A08" w:rsidRPr="00407613">
        <w:rPr>
          <w:rFonts w:cs="Arial"/>
          <w:szCs w:val="22"/>
        </w:rPr>
        <w:t>.</w:t>
      </w:r>
      <w:r w:rsidR="004225DF" w:rsidRPr="00407613">
        <w:rPr>
          <w:rFonts w:cs="Arial"/>
          <w:szCs w:val="22"/>
        </w:rPr>
        <w:t xml:space="preserve">  </w:t>
      </w:r>
      <w:r w:rsidR="00A22336" w:rsidRPr="00407613">
        <w:rPr>
          <w:rFonts w:cs="Arial"/>
          <w:szCs w:val="22"/>
        </w:rPr>
        <w:t xml:space="preserve">As part of these inquiries, we </w:t>
      </w:r>
      <w:r w:rsidR="00EE33B5">
        <w:rPr>
          <w:rFonts w:cs="Arial"/>
          <w:szCs w:val="22"/>
        </w:rPr>
        <w:t>analyze the responses to biochemical or genetic perturbations with a combination of transcriptomic and metabolomic profiling</w:t>
      </w:r>
      <w:r w:rsidR="00367F5E" w:rsidRPr="00407613">
        <w:rPr>
          <w:rFonts w:cs="Arial"/>
          <w:szCs w:val="22"/>
        </w:rPr>
        <w:t xml:space="preserve">.  </w:t>
      </w:r>
      <w:r w:rsidR="00407613" w:rsidRPr="00407613">
        <w:rPr>
          <w:rFonts w:cs="Arial"/>
          <w:szCs w:val="22"/>
        </w:rPr>
        <w:t>Ultimately, we want to understand how to interfere with vulnerable aspects of parasite metabolism.</w:t>
      </w:r>
    </w:p>
    <w:p w:rsidR="00296DC2" w:rsidRDefault="00296DC2" w:rsidP="00296DC2">
      <w:pPr>
        <w:pStyle w:val="Subtitle"/>
        <w:spacing w:before="0" w:after="0"/>
        <w:rPr>
          <w:rFonts w:cs="Arial"/>
          <w:szCs w:val="22"/>
        </w:rPr>
      </w:pPr>
    </w:p>
    <w:p w:rsidR="00F8445E" w:rsidRDefault="00F8445E" w:rsidP="00296DC2">
      <w:pPr>
        <w:pStyle w:val="Subtitle"/>
        <w:numPr>
          <w:ilvl w:val="0"/>
          <w:numId w:val="19"/>
        </w:numPr>
        <w:spacing w:before="0" w:after="0"/>
        <w:rPr>
          <w:rFonts w:cs="Arial"/>
          <w:szCs w:val="22"/>
        </w:rPr>
      </w:pPr>
      <w:r w:rsidRPr="008D0146">
        <w:rPr>
          <w:rFonts w:cs="Arial"/>
          <w:szCs w:val="22"/>
        </w:rPr>
        <w:t>Positions and Honors</w:t>
      </w:r>
    </w:p>
    <w:p w:rsidR="00296DC2" w:rsidRPr="00296DC2" w:rsidRDefault="00296DC2" w:rsidP="00296DC2">
      <w:pPr>
        <w:pStyle w:val="ListParagraph"/>
        <w:ind w:left="360"/>
      </w:pPr>
    </w:p>
    <w:p w:rsidR="00263F1B" w:rsidRPr="00792255" w:rsidRDefault="00263F1B" w:rsidP="00296DC2">
      <w:pPr>
        <w:ind w:left="360" w:right="288"/>
        <w:jc w:val="both"/>
        <w:rPr>
          <w:rFonts w:cs="Arial"/>
          <w:b/>
          <w:bCs/>
          <w:iCs/>
          <w:szCs w:val="22"/>
          <w:u w:val="single"/>
        </w:rPr>
      </w:pPr>
      <w:r w:rsidRPr="00792255">
        <w:rPr>
          <w:rFonts w:cs="Arial"/>
          <w:b/>
          <w:bCs/>
          <w:iCs/>
          <w:szCs w:val="22"/>
          <w:u w:val="single"/>
        </w:rPr>
        <w:t>Positions and Employment</w:t>
      </w:r>
    </w:p>
    <w:p w:rsidR="00DC658F" w:rsidRPr="00AE369D" w:rsidRDefault="00DC658F" w:rsidP="00DC658F">
      <w:pPr>
        <w:tabs>
          <w:tab w:val="left" w:pos="1620"/>
          <w:tab w:val="left" w:pos="1800"/>
        </w:tabs>
        <w:ind w:right="288" w:firstLine="360"/>
        <w:jc w:val="both"/>
        <w:rPr>
          <w:rFonts w:cs="Arial"/>
          <w:szCs w:val="22"/>
        </w:rPr>
      </w:pPr>
      <w:r w:rsidRPr="00AE369D">
        <w:rPr>
          <w:rFonts w:cs="Arial"/>
          <w:szCs w:val="22"/>
        </w:rPr>
        <w:t>1998-2002</w:t>
      </w:r>
      <w:r>
        <w:rPr>
          <w:rFonts w:cs="Arial"/>
          <w:szCs w:val="22"/>
        </w:rPr>
        <w:tab/>
      </w:r>
      <w:r w:rsidRPr="00AE369D">
        <w:rPr>
          <w:rFonts w:cs="Arial"/>
          <w:szCs w:val="22"/>
        </w:rPr>
        <w:t>Captain, Division of Experimental Therapeutics, Walter Reed Army Institute of Research</w:t>
      </w:r>
    </w:p>
    <w:p w:rsidR="00DC658F" w:rsidRDefault="00DC658F" w:rsidP="00DC658F">
      <w:pPr>
        <w:tabs>
          <w:tab w:val="left" w:pos="1620"/>
        </w:tabs>
        <w:ind w:left="360" w:right="288"/>
        <w:jc w:val="both"/>
        <w:rPr>
          <w:rFonts w:cs="Arial"/>
          <w:szCs w:val="22"/>
        </w:rPr>
      </w:pPr>
      <w:r w:rsidRPr="00AE369D">
        <w:rPr>
          <w:rFonts w:cs="Arial"/>
          <w:szCs w:val="22"/>
        </w:rPr>
        <w:t>2002-</w:t>
      </w:r>
      <w:r>
        <w:rPr>
          <w:rFonts w:cs="Arial"/>
          <w:szCs w:val="22"/>
        </w:rPr>
        <w:t>2009</w:t>
      </w:r>
      <w:r>
        <w:rPr>
          <w:rFonts w:cs="Arial"/>
          <w:szCs w:val="22"/>
        </w:rPr>
        <w:tab/>
        <w:t>Assistant Professor,</w:t>
      </w:r>
    </w:p>
    <w:p w:rsidR="00DC658F" w:rsidRDefault="00DC658F" w:rsidP="00DC658F">
      <w:pPr>
        <w:tabs>
          <w:tab w:val="left" w:pos="1620"/>
        </w:tabs>
        <w:ind w:left="360" w:right="288"/>
        <w:jc w:val="both"/>
        <w:rPr>
          <w:rFonts w:cs="Arial"/>
          <w:szCs w:val="22"/>
        </w:rPr>
      </w:pPr>
      <w:r>
        <w:rPr>
          <w:rFonts w:cs="Arial"/>
          <w:szCs w:val="22"/>
        </w:rPr>
        <w:t>2010-2016</w:t>
      </w:r>
      <w:r>
        <w:rPr>
          <w:rFonts w:cs="Arial"/>
          <w:szCs w:val="22"/>
        </w:rPr>
        <w:tab/>
      </w:r>
      <w:r w:rsidRPr="00AE369D">
        <w:rPr>
          <w:rFonts w:cs="Arial"/>
          <w:szCs w:val="22"/>
        </w:rPr>
        <w:t>Ass</w:t>
      </w:r>
      <w:r>
        <w:rPr>
          <w:rFonts w:cs="Arial"/>
          <w:szCs w:val="22"/>
        </w:rPr>
        <w:t>ociate</w:t>
      </w:r>
      <w:r w:rsidRPr="00AE369D">
        <w:rPr>
          <w:rFonts w:cs="Arial"/>
          <w:szCs w:val="22"/>
        </w:rPr>
        <w:t xml:space="preserve"> P</w:t>
      </w:r>
      <w:r>
        <w:rPr>
          <w:rFonts w:cs="Arial"/>
          <w:szCs w:val="22"/>
        </w:rPr>
        <w:t>rofessor,</w:t>
      </w:r>
    </w:p>
    <w:p w:rsidR="00DC658F" w:rsidRPr="00AE369D" w:rsidRDefault="00DC658F" w:rsidP="00DC658F">
      <w:pPr>
        <w:tabs>
          <w:tab w:val="left" w:pos="1620"/>
        </w:tabs>
        <w:ind w:left="1620" w:right="288" w:hanging="1260"/>
        <w:jc w:val="both"/>
        <w:rPr>
          <w:rFonts w:cs="Arial"/>
          <w:szCs w:val="22"/>
        </w:rPr>
      </w:pPr>
      <w:r>
        <w:rPr>
          <w:rFonts w:cs="Arial"/>
          <w:szCs w:val="22"/>
        </w:rPr>
        <w:t>2016-</w:t>
      </w:r>
      <w:r>
        <w:rPr>
          <w:rFonts w:cs="Arial"/>
          <w:szCs w:val="22"/>
        </w:rPr>
        <w:tab/>
        <w:t xml:space="preserve">Professor, </w:t>
      </w:r>
      <w:r w:rsidRPr="00AE369D">
        <w:rPr>
          <w:rFonts w:cs="Arial"/>
          <w:szCs w:val="22"/>
        </w:rPr>
        <w:t>Molecular Microbiology and Immunology, Johns Hopkins</w:t>
      </w:r>
      <w:r>
        <w:rPr>
          <w:rFonts w:cs="Arial"/>
          <w:szCs w:val="22"/>
        </w:rPr>
        <w:t xml:space="preserve"> </w:t>
      </w:r>
      <w:r w:rsidRPr="00AE369D">
        <w:rPr>
          <w:rFonts w:cs="Arial"/>
          <w:szCs w:val="22"/>
        </w:rPr>
        <w:t>Bloomberg School of Public Health</w:t>
      </w:r>
      <w:r>
        <w:rPr>
          <w:rFonts w:cs="Arial"/>
          <w:szCs w:val="22"/>
        </w:rPr>
        <w:t xml:space="preserve">; </w:t>
      </w:r>
      <w:r w:rsidRPr="00AE369D">
        <w:rPr>
          <w:rFonts w:cs="Arial"/>
          <w:szCs w:val="22"/>
        </w:rPr>
        <w:t>Biochemistry and Molecular Biology, Johns Hopkins</w:t>
      </w:r>
      <w:r>
        <w:rPr>
          <w:rFonts w:cs="Arial"/>
          <w:szCs w:val="22"/>
        </w:rPr>
        <w:t xml:space="preserve"> </w:t>
      </w:r>
      <w:r w:rsidRPr="00AE369D">
        <w:rPr>
          <w:rFonts w:cs="Arial"/>
          <w:szCs w:val="22"/>
        </w:rPr>
        <w:t>Bloomberg School of Public Health</w:t>
      </w:r>
      <w:r>
        <w:rPr>
          <w:rFonts w:cs="Arial"/>
          <w:szCs w:val="22"/>
        </w:rPr>
        <w:t xml:space="preserve">; </w:t>
      </w:r>
      <w:r w:rsidRPr="00AE369D">
        <w:rPr>
          <w:rFonts w:cs="Arial"/>
          <w:szCs w:val="22"/>
        </w:rPr>
        <w:t>Biophysics and Biophysical Chemistry, Johns Hopkins</w:t>
      </w:r>
      <w:r>
        <w:rPr>
          <w:rFonts w:cs="Arial"/>
          <w:szCs w:val="22"/>
        </w:rPr>
        <w:t xml:space="preserve"> </w:t>
      </w:r>
      <w:r w:rsidRPr="00AE369D">
        <w:rPr>
          <w:rFonts w:cs="Arial"/>
          <w:szCs w:val="22"/>
        </w:rPr>
        <w:t>School of Medicine</w:t>
      </w:r>
    </w:p>
    <w:p w:rsidR="00DC658F" w:rsidRPr="00AE369D" w:rsidRDefault="00DC658F" w:rsidP="00DC658F">
      <w:pPr>
        <w:ind w:left="360" w:right="288"/>
        <w:jc w:val="both"/>
        <w:rPr>
          <w:rFonts w:cs="Arial"/>
          <w:szCs w:val="22"/>
        </w:rPr>
      </w:pPr>
    </w:p>
    <w:p w:rsidR="00263F1B" w:rsidRPr="00460AAF" w:rsidRDefault="00263F1B" w:rsidP="00263F1B">
      <w:pPr>
        <w:ind w:left="360" w:right="288"/>
        <w:jc w:val="both"/>
        <w:rPr>
          <w:rFonts w:cs="Arial"/>
          <w:b/>
          <w:bCs/>
          <w:iCs/>
          <w:szCs w:val="22"/>
          <w:u w:val="single"/>
        </w:rPr>
      </w:pPr>
      <w:r w:rsidRPr="00460AAF">
        <w:rPr>
          <w:rFonts w:cs="Arial"/>
          <w:b/>
          <w:bCs/>
          <w:iCs/>
          <w:szCs w:val="22"/>
          <w:u w:val="single"/>
        </w:rPr>
        <w:t>Other Experience and Professional Memberships</w:t>
      </w:r>
    </w:p>
    <w:p w:rsidR="00263F1B" w:rsidRPr="00AE369D" w:rsidRDefault="00263F1B" w:rsidP="00263F1B">
      <w:pPr>
        <w:tabs>
          <w:tab w:val="left" w:pos="1620"/>
        </w:tabs>
        <w:ind w:left="1620" w:right="288" w:hanging="1260"/>
        <w:jc w:val="both"/>
        <w:rPr>
          <w:rFonts w:cs="Arial"/>
          <w:szCs w:val="22"/>
        </w:rPr>
      </w:pPr>
      <w:r w:rsidRPr="00AE369D">
        <w:rPr>
          <w:rFonts w:cs="Arial"/>
          <w:szCs w:val="22"/>
        </w:rPr>
        <w:t>1995-</w:t>
      </w:r>
      <w:r>
        <w:rPr>
          <w:rFonts w:cs="Arial"/>
          <w:szCs w:val="22"/>
        </w:rPr>
        <w:tab/>
      </w:r>
      <w:r w:rsidRPr="00AE369D">
        <w:rPr>
          <w:rFonts w:cs="Arial"/>
          <w:szCs w:val="22"/>
        </w:rPr>
        <w:t>Member, Biophysical Society</w:t>
      </w:r>
    </w:p>
    <w:p w:rsidR="00263F1B" w:rsidRPr="00AE369D" w:rsidRDefault="00263F1B" w:rsidP="00263F1B">
      <w:pPr>
        <w:tabs>
          <w:tab w:val="left" w:pos="1620"/>
        </w:tabs>
        <w:ind w:left="1620" w:right="288" w:hanging="1260"/>
        <w:jc w:val="both"/>
        <w:rPr>
          <w:rFonts w:cs="Arial"/>
          <w:szCs w:val="22"/>
        </w:rPr>
      </w:pPr>
      <w:r w:rsidRPr="00AE369D">
        <w:rPr>
          <w:rFonts w:cs="Arial"/>
          <w:szCs w:val="22"/>
        </w:rPr>
        <w:t>1996-</w:t>
      </w:r>
      <w:r>
        <w:rPr>
          <w:rFonts w:cs="Arial"/>
          <w:szCs w:val="22"/>
        </w:rPr>
        <w:tab/>
      </w:r>
      <w:r w:rsidRPr="00AE369D">
        <w:rPr>
          <w:rFonts w:cs="Arial"/>
          <w:szCs w:val="22"/>
        </w:rPr>
        <w:t>Member, American Crystallographic Association</w:t>
      </w:r>
    </w:p>
    <w:p w:rsidR="00263F1B" w:rsidRPr="00AE369D" w:rsidRDefault="00263F1B" w:rsidP="00263F1B">
      <w:pPr>
        <w:tabs>
          <w:tab w:val="left" w:pos="1620"/>
          <w:tab w:val="left" w:pos="2160"/>
          <w:tab w:val="left" w:pos="2880"/>
          <w:tab w:val="left" w:pos="3600"/>
        </w:tabs>
        <w:ind w:left="1620" w:hanging="1260"/>
        <w:rPr>
          <w:rFonts w:cs="Arial"/>
          <w:i/>
          <w:iCs/>
          <w:szCs w:val="22"/>
        </w:rPr>
      </w:pPr>
      <w:r w:rsidRPr="00AE369D">
        <w:rPr>
          <w:rFonts w:cs="Arial"/>
          <w:szCs w:val="22"/>
        </w:rPr>
        <w:t>1999-</w:t>
      </w:r>
      <w:r w:rsidRPr="00AE369D">
        <w:rPr>
          <w:rFonts w:cs="Arial"/>
          <w:szCs w:val="22"/>
        </w:rPr>
        <w:tab/>
      </w:r>
      <w:r w:rsidR="00517D1D" w:rsidRPr="00517D1D">
        <w:rPr>
          <w:rFonts w:cs="Arial"/>
          <w:iCs/>
          <w:szCs w:val="22"/>
        </w:rPr>
        <w:t>Peer</w:t>
      </w:r>
      <w:r w:rsidRPr="00517D1D">
        <w:rPr>
          <w:rFonts w:cs="Arial"/>
          <w:szCs w:val="22"/>
        </w:rPr>
        <w:t xml:space="preserve"> </w:t>
      </w:r>
      <w:r w:rsidRPr="00AE369D">
        <w:rPr>
          <w:rFonts w:cs="Arial"/>
          <w:szCs w:val="22"/>
        </w:rPr>
        <w:t>reviewer for</w:t>
      </w:r>
      <w:r>
        <w:rPr>
          <w:rFonts w:cs="Arial"/>
          <w:szCs w:val="22"/>
        </w:rPr>
        <w:t xml:space="preserve"> </w:t>
      </w:r>
      <w:r w:rsidR="00296DC2">
        <w:rPr>
          <w:rFonts w:cs="Arial"/>
          <w:szCs w:val="22"/>
        </w:rPr>
        <w:t>40</w:t>
      </w:r>
      <w:r>
        <w:rPr>
          <w:rFonts w:cs="Arial"/>
          <w:szCs w:val="22"/>
        </w:rPr>
        <w:t xml:space="preserve"> research journals</w:t>
      </w:r>
    </w:p>
    <w:p w:rsidR="00263F1B" w:rsidRPr="00AE369D" w:rsidRDefault="00263F1B" w:rsidP="00263F1B">
      <w:pPr>
        <w:tabs>
          <w:tab w:val="left" w:pos="1620"/>
          <w:tab w:val="left" w:pos="2160"/>
          <w:tab w:val="left" w:pos="2880"/>
          <w:tab w:val="left" w:pos="3600"/>
        </w:tabs>
        <w:ind w:left="1620" w:hanging="1260"/>
        <w:rPr>
          <w:rFonts w:cs="Arial"/>
          <w:szCs w:val="22"/>
        </w:rPr>
      </w:pPr>
      <w:r w:rsidRPr="00AE369D">
        <w:rPr>
          <w:rFonts w:cs="Arial"/>
          <w:szCs w:val="22"/>
        </w:rPr>
        <w:t>2000-</w:t>
      </w:r>
      <w:r w:rsidRPr="00AE369D">
        <w:rPr>
          <w:rFonts w:cs="Arial"/>
          <w:szCs w:val="22"/>
        </w:rPr>
        <w:tab/>
        <w:t>Member, American Association for the Advancement of Science</w:t>
      </w:r>
    </w:p>
    <w:p w:rsidR="00296DC2" w:rsidRDefault="00263F1B" w:rsidP="00263F1B">
      <w:pPr>
        <w:tabs>
          <w:tab w:val="left" w:pos="1620"/>
        </w:tabs>
        <w:ind w:left="1620" w:right="288" w:hanging="1267"/>
        <w:jc w:val="both"/>
        <w:rPr>
          <w:rFonts w:cs="Arial"/>
          <w:szCs w:val="22"/>
        </w:rPr>
      </w:pPr>
      <w:r w:rsidRPr="00AE369D">
        <w:rPr>
          <w:rFonts w:cs="Arial"/>
          <w:szCs w:val="22"/>
        </w:rPr>
        <w:t>2003-</w:t>
      </w:r>
      <w:r w:rsidRPr="00AE369D">
        <w:rPr>
          <w:rFonts w:cs="Arial"/>
          <w:szCs w:val="22"/>
        </w:rPr>
        <w:tab/>
      </w:r>
      <w:r w:rsidRPr="00AE369D">
        <w:rPr>
          <w:rFonts w:cs="Arial"/>
          <w:i/>
          <w:iCs/>
          <w:szCs w:val="22"/>
        </w:rPr>
        <w:t>Ad hoc</w:t>
      </w:r>
      <w:r w:rsidRPr="00AE369D">
        <w:rPr>
          <w:rFonts w:cs="Arial"/>
          <w:szCs w:val="22"/>
        </w:rPr>
        <w:t xml:space="preserve"> grant reviewer for the </w:t>
      </w:r>
      <w:proofErr w:type="spellStart"/>
      <w:r w:rsidRPr="00AE369D">
        <w:rPr>
          <w:rFonts w:cs="Arial"/>
          <w:szCs w:val="22"/>
        </w:rPr>
        <w:t>Wellcome</w:t>
      </w:r>
      <w:proofErr w:type="spellEnd"/>
      <w:r w:rsidRPr="00AE369D">
        <w:rPr>
          <w:rFonts w:cs="Arial"/>
          <w:szCs w:val="22"/>
        </w:rPr>
        <w:t xml:space="preserve"> Trust, </w:t>
      </w:r>
    </w:p>
    <w:p w:rsidR="00263F1B" w:rsidRPr="00AE369D" w:rsidRDefault="00263F1B" w:rsidP="00263F1B">
      <w:pPr>
        <w:tabs>
          <w:tab w:val="left" w:pos="1620"/>
        </w:tabs>
        <w:ind w:left="1620" w:right="288" w:hanging="1267"/>
        <w:jc w:val="both"/>
        <w:rPr>
          <w:rFonts w:cs="Arial"/>
          <w:szCs w:val="22"/>
        </w:rPr>
      </w:pPr>
      <w:r w:rsidRPr="00AE369D">
        <w:rPr>
          <w:rFonts w:cs="Arial"/>
          <w:szCs w:val="22"/>
        </w:rPr>
        <w:t>2004</w:t>
      </w:r>
      <w:r w:rsidRPr="00AE369D">
        <w:rPr>
          <w:rFonts w:cs="Arial"/>
          <w:szCs w:val="22"/>
        </w:rPr>
        <w:tab/>
      </w:r>
      <w:r w:rsidR="003B52F8">
        <w:rPr>
          <w:rFonts w:cs="Arial"/>
          <w:szCs w:val="22"/>
        </w:rPr>
        <w:t>Reviewer</w:t>
      </w:r>
      <w:r w:rsidRPr="00AE369D">
        <w:rPr>
          <w:rFonts w:cs="Arial"/>
          <w:szCs w:val="22"/>
        </w:rPr>
        <w:t>, NIH-NRSA Study section (ZRG1 F08</w:t>
      </w:r>
      <w:proofErr w:type="gramStart"/>
      <w:r w:rsidRPr="00AE369D">
        <w:rPr>
          <w:rFonts w:cs="Arial"/>
          <w:szCs w:val="22"/>
        </w:rPr>
        <w:t>)  3</w:t>
      </w:r>
      <w:proofErr w:type="gramEnd"/>
      <w:r w:rsidRPr="00AE369D">
        <w:rPr>
          <w:rFonts w:cs="Arial"/>
          <w:szCs w:val="22"/>
        </w:rPr>
        <w:t>-5 March 2004 and 3-5, November 2004</w:t>
      </w:r>
    </w:p>
    <w:p w:rsidR="00263F1B" w:rsidRPr="00AE369D" w:rsidRDefault="00263F1B" w:rsidP="00263F1B">
      <w:pPr>
        <w:tabs>
          <w:tab w:val="left" w:pos="1620"/>
        </w:tabs>
        <w:ind w:left="1620" w:right="288" w:hanging="1267"/>
        <w:jc w:val="both"/>
        <w:rPr>
          <w:rFonts w:cs="Arial"/>
          <w:szCs w:val="22"/>
        </w:rPr>
      </w:pPr>
      <w:r w:rsidRPr="00AE369D">
        <w:rPr>
          <w:rFonts w:cs="Arial"/>
          <w:szCs w:val="22"/>
        </w:rPr>
        <w:t>2005</w:t>
      </w:r>
      <w:r w:rsidRPr="00AE369D">
        <w:rPr>
          <w:rFonts w:cs="Arial"/>
          <w:szCs w:val="22"/>
        </w:rPr>
        <w:tab/>
      </w:r>
      <w:r w:rsidRPr="00AE369D">
        <w:rPr>
          <w:rFonts w:cs="Arial"/>
          <w:i/>
          <w:iCs/>
          <w:szCs w:val="22"/>
        </w:rPr>
        <w:t>Ad hoc</w:t>
      </w:r>
      <w:r w:rsidRPr="00AE369D">
        <w:rPr>
          <w:rFonts w:cs="Arial"/>
          <w:szCs w:val="22"/>
        </w:rPr>
        <w:t xml:space="preserve"> reviewer, NIH (ZAI1 AR-M), June 23 2005</w:t>
      </w:r>
    </w:p>
    <w:p w:rsidR="00263F1B" w:rsidRPr="00AE369D" w:rsidRDefault="00263F1B" w:rsidP="00263F1B">
      <w:pPr>
        <w:tabs>
          <w:tab w:val="left" w:pos="1620"/>
        </w:tabs>
        <w:ind w:left="1620" w:right="288" w:hanging="1267"/>
        <w:jc w:val="both"/>
        <w:rPr>
          <w:rFonts w:cs="Arial"/>
          <w:szCs w:val="22"/>
        </w:rPr>
      </w:pPr>
      <w:r w:rsidRPr="00AE369D">
        <w:rPr>
          <w:rFonts w:cs="Arial"/>
          <w:szCs w:val="22"/>
        </w:rPr>
        <w:t>2005-</w:t>
      </w:r>
      <w:r w:rsidRPr="00AE369D">
        <w:rPr>
          <w:rFonts w:cs="Arial"/>
          <w:szCs w:val="22"/>
        </w:rPr>
        <w:tab/>
      </w:r>
      <w:r>
        <w:rPr>
          <w:rFonts w:cs="Arial"/>
          <w:szCs w:val="22"/>
        </w:rPr>
        <w:t>Reviewer</w:t>
      </w:r>
      <w:r w:rsidRPr="00AE369D">
        <w:rPr>
          <w:rFonts w:cs="Arial"/>
          <w:szCs w:val="22"/>
        </w:rPr>
        <w:t>, NIH-NRSA Study section (ZRG1 F13)  9-11 March 2005, 20-22 July 2005, 31 Oct-1Nov 2005, 15-16 March 2006, 20-21 November 2006, 19-20 March 2007</w:t>
      </w:r>
      <w:r>
        <w:rPr>
          <w:rFonts w:cs="Arial"/>
          <w:szCs w:val="22"/>
        </w:rPr>
        <w:t xml:space="preserve">, 19 </w:t>
      </w:r>
      <w:r w:rsidRPr="00F94697">
        <w:rPr>
          <w:rFonts w:cs="Arial"/>
          <w:szCs w:val="22"/>
        </w:rPr>
        <w:t>November 2010, 18</w:t>
      </w:r>
      <w:r>
        <w:rPr>
          <w:rFonts w:cs="Arial"/>
          <w:szCs w:val="22"/>
        </w:rPr>
        <w:t xml:space="preserve"> July 2011, 22-23 March 2012, 15-16 November 2012, 19 December 2013</w:t>
      </w:r>
      <w:r w:rsidR="003B52F8">
        <w:rPr>
          <w:rFonts w:cs="Arial"/>
          <w:szCs w:val="22"/>
        </w:rPr>
        <w:t>, 10-11 July 2014, 18-19 March 2015</w:t>
      </w:r>
      <w:r w:rsidR="00DA4257">
        <w:rPr>
          <w:rFonts w:cs="Arial"/>
          <w:szCs w:val="22"/>
        </w:rPr>
        <w:t>, 9-10 November 2016</w:t>
      </w:r>
    </w:p>
    <w:p w:rsidR="00263F1B" w:rsidRPr="00AE369D" w:rsidRDefault="00263F1B" w:rsidP="00263F1B">
      <w:pPr>
        <w:tabs>
          <w:tab w:val="left" w:pos="1620"/>
        </w:tabs>
        <w:ind w:left="1620" w:right="288" w:hanging="1267"/>
        <w:jc w:val="both"/>
        <w:rPr>
          <w:rFonts w:cs="Arial"/>
          <w:szCs w:val="22"/>
        </w:rPr>
      </w:pPr>
      <w:r w:rsidRPr="00AE369D">
        <w:rPr>
          <w:rFonts w:cs="Arial"/>
          <w:szCs w:val="22"/>
        </w:rPr>
        <w:lastRenderedPageBreak/>
        <w:t>2006</w:t>
      </w:r>
      <w:r w:rsidRPr="00AE369D">
        <w:rPr>
          <w:rFonts w:cs="Arial"/>
          <w:szCs w:val="22"/>
        </w:rPr>
        <w:tab/>
      </w:r>
      <w:r w:rsidRPr="00AE369D">
        <w:rPr>
          <w:rFonts w:cs="Arial"/>
          <w:i/>
          <w:iCs/>
          <w:szCs w:val="22"/>
        </w:rPr>
        <w:t>Ad hoc</w:t>
      </w:r>
      <w:r w:rsidRPr="00AE369D">
        <w:rPr>
          <w:rFonts w:cs="Arial"/>
          <w:szCs w:val="22"/>
        </w:rPr>
        <w:t xml:space="preserve"> reviewer, NIH (ZRG1 BCMB-Q), 28 Feb 2006</w:t>
      </w:r>
    </w:p>
    <w:p w:rsidR="00263F1B" w:rsidRPr="00AE369D" w:rsidRDefault="00263F1B" w:rsidP="00263F1B">
      <w:pPr>
        <w:tabs>
          <w:tab w:val="left" w:pos="1620"/>
        </w:tabs>
        <w:ind w:left="1620" w:right="288" w:hanging="1267"/>
        <w:jc w:val="both"/>
        <w:rPr>
          <w:rFonts w:cs="Arial"/>
          <w:szCs w:val="22"/>
        </w:rPr>
      </w:pPr>
      <w:r w:rsidRPr="00AE369D">
        <w:rPr>
          <w:rFonts w:cs="Arial"/>
          <w:szCs w:val="22"/>
        </w:rPr>
        <w:t>2006</w:t>
      </w:r>
      <w:r w:rsidRPr="00AE369D">
        <w:rPr>
          <w:rFonts w:cs="Arial"/>
          <w:szCs w:val="22"/>
        </w:rPr>
        <w:tab/>
      </w:r>
      <w:r w:rsidRPr="00AE369D">
        <w:rPr>
          <w:rFonts w:cs="Arial"/>
          <w:i/>
          <w:szCs w:val="22"/>
        </w:rPr>
        <w:t>Ad hoc</w:t>
      </w:r>
      <w:r w:rsidRPr="00AE369D">
        <w:rPr>
          <w:rFonts w:cs="Arial"/>
          <w:szCs w:val="22"/>
        </w:rPr>
        <w:t xml:space="preserve"> reviewer NIH (PTHE), 7-9 June 2006, 4-6 October 2006, 7-8 June 2007, 24-</w:t>
      </w:r>
      <w:r>
        <w:rPr>
          <w:rFonts w:cs="Arial"/>
          <w:szCs w:val="22"/>
        </w:rPr>
        <w:t>2</w:t>
      </w:r>
      <w:r w:rsidRPr="00AE369D">
        <w:rPr>
          <w:rFonts w:cs="Arial"/>
          <w:szCs w:val="22"/>
        </w:rPr>
        <w:t>5 Jan</w:t>
      </w:r>
      <w:r>
        <w:rPr>
          <w:rFonts w:cs="Arial"/>
          <w:szCs w:val="22"/>
        </w:rPr>
        <w:t>uary</w:t>
      </w:r>
      <w:r w:rsidRPr="00AE369D">
        <w:rPr>
          <w:rFonts w:cs="Arial"/>
          <w:szCs w:val="22"/>
        </w:rPr>
        <w:t xml:space="preserve"> 2008</w:t>
      </w:r>
      <w:r w:rsidR="00625FA4">
        <w:rPr>
          <w:rFonts w:cs="Arial"/>
          <w:szCs w:val="22"/>
        </w:rPr>
        <w:t>, February 2018</w:t>
      </w:r>
    </w:p>
    <w:p w:rsidR="00263F1B" w:rsidRDefault="00263F1B" w:rsidP="00263F1B">
      <w:pPr>
        <w:tabs>
          <w:tab w:val="left" w:pos="1620"/>
        </w:tabs>
        <w:ind w:left="1620" w:right="288" w:hanging="1267"/>
        <w:jc w:val="both"/>
        <w:rPr>
          <w:rFonts w:cs="Arial"/>
          <w:szCs w:val="22"/>
        </w:rPr>
      </w:pPr>
      <w:r w:rsidRPr="00AE369D">
        <w:rPr>
          <w:rFonts w:cs="Arial"/>
          <w:szCs w:val="22"/>
        </w:rPr>
        <w:t>2008</w:t>
      </w:r>
      <w:r w:rsidRPr="00AE369D">
        <w:rPr>
          <w:rFonts w:cs="Arial"/>
          <w:szCs w:val="22"/>
        </w:rPr>
        <w:tab/>
      </w:r>
      <w:r w:rsidRPr="00AE369D">
        <w:rPr>
          <w:rFonts w:cs="Arial"/>
          <w:i/>
          <w:szCs w:val="22"/>
        </w:rPr>
        <w:t>Ad hoc</w:t>
      </w:r>
      <w:r w:rsidRPr="00AE369D">
        <w:rPr>
          <w:rFonts w:cs="Arial"/>
          <w:szCs w:val="22"/>
        </w:rPr>
        <w:t xml:space="preserve"> reviewer NIH (MGC), 14-15 Oct 2008</w:t>
      </w:r>
    </w:p>
    <w:p w:rsidR="00263F1B" w:rsidRPr="00AE369D" w:rsidRDefault="00263F1B" w:rsidP="00263F1B">
      <w:pPr>
        <w:tabs>
          <w:tab w:val="left" w:pos="1620"/>
        </w:tabs>
        <w:ind w:left="1620" w:right="288" w:hanging="1267"/>
        <w:jc w:val="both"/>
        <w:rPr>
          <w:rFonts w:cs="Arial"/>
          <w:szCs w:val="22"/>
        </w:rPr>
      </w:pPr>
      <w:r>
        <w:rPr>
          <w:rFonts w:cs="Arial"/>
          <w:szCs w:val="22"/>
        </w:rPr>
        <w:t>2014</w:t>
      </w:r>
      <w:r w:rsidR="00F9432B">
        <w:rPr>
          <w:rFonts w:cs="Arial"/>
          <w:szCs w:val="22"/>
        </w:rPr>
        <w:t>-</w:t>
      </w:r>
      <w:r>
        <w:rPr>
          <w:rFonts w:cs="Arial"/>
          <w:szCs w:val="22"/>
        </w:rPr>
        <w:tab/>
        <w:t xml:space="preserve">Editorial board, </w:t>
      </w:r>
      <w:r w:rsidRPr="003A0577">
        <w:rPr>
          <w:rFonts w:cs="Arial"/>
          <w:i/>
          <w:szCs w:val="22"/>
        </w:rPr>
        <w:t>Eukaryotic Cell</w:t>
      </w:r>
      <w:r w:rsidR="00F9432B">
        <w:rPr>
          <w:rFonts w:cs="Arial"/>
          <w:i/>
          <w:szCs w:val="22"/>
        </w:rPr>
        <w:t xml:space="preserve"> (2014-16), Molecular Microbiology (2017-19)</w:t>
      </w:r>
    </w:p>
    <w:p w:rsidR="00263F1B" w:rsidRPr="00AE369D" w:rsidRDefault="00263F1B" w:rsidP="00263F1B">
      <w:pPr>
        <w:ind w:right="288"/>
        <w:jc w:val="both"/>
        <w:rPr>
          <w:rFonts w:cs="Arial"/>
          <w:szCs w:val="22"/>
        </w:rPr>
      </w:pPr>
    </w:p>
    <w:p w:rsidR="00263F1B" w:rsidRPr="00460AAF" w:rsidRDefault="00263F1B" w:rsidP="00263F1B">
      <w:pPr>
        <w:ind w:left="360" w:right="288"/>
        <w:jc w:val="both"/>
        <w:rPr>
          <w:rFonts w:cs="Arial"/>
          <w:b/>
          <w:bCs/>
          <w:iCs/>
          <w:szCs w:val="22"/>
          <w:u w:val="single"/>
        </w:rPr>
      </w:pPr>
      <w:r w:rsidRPr="00460AAF">
        <w:rPr>
          <w:rFonts w:cs="Arial"/>
          <w:b/>
          <w:bCs/>
          <w:iCs/>
          <w:szCs w:val="22"/>
          <w:u w:val="single"/>
        </w:rPr>
        <w:t>Honors</w:t>
      </w:r>
    </w:p>
    <w:p w:rsidR="00263F1B" w:rsidRPr="00AE369D" w:rsidRDefault="00263F1B" w:rsidP="00263F1B">
      <w:pPr>
        <w:tabs>
          <w:tab w:val="left" w:pos="1620"/>
        </w:tabs>
        <w:ind w:left="360" w:right="288"/>
        <w:jc w:val="both"/>
        <w:rPr>
          <w:rFonts w:cs="Arial"/>
          <w:szCs w:val="22"/>
        </w:rPr>
      </w:pPr>
      <w:r>
        <w:rPr>
          <w:rFonts w:cs="Arial"/>
          <w:szCs w:val="22"/>
        </w:rPr>
        <w:t>1991</w:t>
      </w:r>
      <w:r>
        <w:rPr>
          <w:rFonts w:cs="Arial"/>
          <w:szCs w:val="22"/>
        </w:rPr>
        <w:tab/>
        <w:t>Magna cum laude</w:t>
      </w:r>
    </w:p>
    <w:p w:rsidR="00263F1B" w:rsidRPr="00AE369D" w:rsidRDefault="00263F1B" w:rsidP="00263F1B">
      <w:pPr>
        <w:tabs>
          <w:tab w:val="left" w:pos="1620"/>
        </w:tabs>
        <w:ind w:left="360" w:right="288"/>
        <w:jc w:val="both"/>
        <w:rPr>
          <w:rFonts w:cs="Arial"/>
          <w:szCs w:val="22"/>
        </w:rPr>
      </w:pPr>
      <w:r>
        <w:rPr>
          <w:rFonts w:cs="Arial"/>
          <w:szCs w:val="22"/>
        </w:rPr>
        <w:t>1991-2</w:t>
      </w:r>
      <w:r>
        <w:rPr>
          <w:rFonts w:cs="Arial"/>
          <w:szCs w:val="22"/>
        </w:rPr>
        <w:tab/>
      </w:r>
      <w:r w:rsidRPr="00AE369D">
        <w:rPr>
          <w:rFonts w:cs="Arial"/>
          <w:szCs w:val="22"/>
        </w:rPr>
        <w:t>Amh</w:t>
      </w:r>
      <w:r>
        <w:rPr>
          <w:rFonts w:cs="Arial"/>
          <w:szCs w:val="22"/>
        </w:rPr>
        <w:t>erst Memorial Fellowship</w:t>
      </w:r>
    </w:p>
    <w:p w:rsidR="00263F1B" w:rsidRPr="00AE369D" w:rsidRDefault="00263F1B" w:rsidP="00263F1B">
      <w:pPr>
        <w:tabs>
          <w:tab w:val="left" w:pos="1620"/>
        </w:tabs>
        <w:ind w:left="360" w:right="288"/>
        <w:jc w:val="both"/>
        <w:rPr>
          <w:rFonts w:cs="Arial"/>
          <w:szCs w:val="22"/>
        </w:rPr>
      </w:pPr>
      <w:r>
        <w:rPr>
          <w:rFonts w:cs="Arial"/>
          <w:szCs w:val="22"/>
        </w:rPr>
        <w:t>1993-5</w:t>
      </w:r>
      <w:r>
        <w:rPr>
          <w:rFonts w:cs="Arial"/>
          <w:szCs w:val="22"/>
        </w:rPr>
        <w:tab/>
      </w:r>
      <w:proofErr w:type="spellStart"/>
      <w:r w:rsidRPr="00AE369D">
        <w:rPr>
          <w:rFonts w:cs="Arial"/>
          <w:szCs w:val="22"/>
        </w:rPr>
        <w:t>Forris</w:t>
      </w:r>
      <w:proofErr w:type="spellEnd"/>
      <w:r>
        <w:rPr>
          <w:rFonts w:cs="Arial"/>
          <w:szCs w:val="22"/>
        </w:rPr>
        <w:t xml:space="preserve"> Jewett Moore Fellowship</w:t>
      </w:r>
    </w:p>
    <w:p w:rsidR="00263F1B" w:rsidRPr="00AE369D" w:rsidRDefault="00263F1B" w:rsidP="00263F1B">
      <w:pPr>
        <w:tabs>
          <w:tab w:val="left" w:pos="1620"/>
        </w:tabs>
        <w:ind w:left="360" w:right="288"/>
        <w:jc w:val="both"/>
        <w:rPr>
          <w:rFonts w:cs="Arial"/>
          <w:szCs w:val="22"/>
        </w:rPr>
      </w:pPr>
      <w:r>
        <w:rPr>
          <w:rFonts w:cs="Arial"/>
          <w:szCs w:val="22"/>
        </w:rPr>
        <w:t xml:space="preserve">1997 </w:t>
      </w:r>
      <w:r>
        <w:rPr>
          <w:rFonts w:cs="Arial"/>
          <w:szCs w:val="22"/>
        </w:rPr>
        <w:tab/>
      </w:r>
      <w:r w:rsidRPr="00AE369D">
        <w:rPr>
          <w:rFonts w:cs="Arial"/>
          <w:szCs w:val="22"/>
        </w:rPr>
        <w:t>Biophy</w:t>
      </w:r>
      <w:r>
        <w:rPr>
          <w:rFonts w:cs="Arial"/>
          <w:szCs w:val="22"/>
        </w:rPr>
        <w:t>sical Society Travel Award</w:t>
      </w:r>
    </w:p>
    <w:p w:rsidR="00263F1B" w:rsidRPr="00AE369D" w:rsidRDefault="00263F1B" w:rsidP="00263F1B">
      <w:pPr>
        <w:tabs>
          <w:tab w:val="left" w:pos="1620"/>
        </w:tabs>
        <w:ind w:left="360" w:right="288"/>
        <w:jc w:val="both"/>
        <w:rPr>
          <w:rFonts w:cs="Arial"/>
          <w:szCs w:val="22"/>
        </w:rPr>
      </w:pPr>
      <w:r>
        <w:rPr>
          <w:rFonts w:cs="Arial"/>
          <w:szCs w:val="22"/>
        </w:rPr>
        <w:t>1997</w:t>
      </w:r>
      <w:r>
        <w:rPr>
          <w:rFonts w:cs="Arial"/>
          <w:szCs w:val="22"/>
        </w:rPr>
        <w:tab/>
      </w:r>
      <w:r w:rsidRPr="00AE369D">
        <w:rPr>
          <w:rFonts w:cs="Arial"/>
          <w:szCs w:val="22"/>
        </w:rPr>
        <w:t>Ehrlich Graduate Student, Johns Hop</w:t>
      </w:r>
      <w:r>
        <w:rPr>
          <w:rFonts w:cs="Arial"/>
          <w:szCs w:val="22"/>
        </w:rPr>
        <w:t>kins Young Investigator Day</w:t>
      </w:r>
    </w:p>
    <w:p w:rsidR="00263F1B" w:rsidRPr="00AE369D" w:rsidRDefault="00263F1B" w:rsidP="00263F1B">
      <w:pPr>
        <w:tabs>
          <w:tab w:val="left" w:pos="1620"/>
        </w:tabs>
        <w:ind w:left="360" w:right="288"/>
        <w:jc w:val="both"/>
        <w:rPr>
          <w:rFonts w:cs="Arial"/>
          <w:szCs w:val="22"/>
        </w:rPr>
      </w:pPr>
      <w:r>
        <w:rPr>
          <w:rFonts w:cs="Arial"/>
          <w:szCs w:val="22"/>
        </w:rPr>
        <w:t>1997</w:t>
      </w:r>
      <w:r>
        <w:rPr>
          <w:rFonts w:cs="Arial"/>
          <w:szCs w:val="22"/>
        </w:rPr>
        <w:tab/>
      </w:r>
      <w:r w:rsidRPr="00AE369D">
        <w:rPr>
          <w:rFonts w:cs="Arial"/>
          <w:szCs w:val="22"/>
        </w:rPr>
        <w:t>American Crystallographi</w:t>
      </w:r>
      <w:r>
        <w:rPr>
          <w:rFonts w:cs="Arial"/>
          <w:szCs w:val="22"/>
        </w:rPr>
        <w:t>c Association Travel Award</w:t>
      </w:r>
    </w:p>
    <w:p w:rsidR="00263F1B" w:rsidRPr="00AE369D" w:rsidRDefault="00263F1B" w:rsidP="00263F1B">
      <w:pPr>
        <w:tabs>
          <w:tab w:val="left" w:pos="1620"/>
        </w:tabs>
        <w:ind w:left="360" w:right="288"/>
        <w:jc w:val="both"/>
        <w:rPr>
          <w:rFonts w:cs="Arial"/>
          <w:b/>
          <w:bCs/>
          <w:szCs w:val="22"/>
        </w:rPr>
      </w:pPr>
      <w:r>
        <w:rPr>
          <w:rFonts w:cs="Arial"/>
          <w:szCs w:val="22"/>
        </w:rPr>
        <w:t>2002</w:t>
      </w:r>
      <w:r>
        <w:rPr>
          <w:rFonts w:cs="Arial"/>
          <w:szCs w:val="22"/>
        </w:rPr>
        <w:tab/>
      </w:r>
      <w:r w:rsidRPr="00AE369D">
        <w:rPr>
          <w:rFonts w:cs="Arial"/>
          <w:szCs w:val="22"/>
        </w:rPr>
        <w:t>Faculty Development Award</w:t>
      </w:r>
    </w:p>
    <w:p w:rsidR="00263F1B" w:rsidRPr="00AE369D" w:rsidRDefault="00263F1B" w:rsidP="00263F1B">
      <w:pPr>
        <w:tabs>
          <w:tab w:val="left" w:pos="1620"/>
        </w:tabs>
        <w:ind w:left="360"/>
        <w:jc w:val="both"/>
        <w:rPr>
          <w:rFonts w:cs="Arial"/>
          <w:szCs w:val="22"/>
        </w:rPr>
      </w:pPr>
      <w:r>
        <w:rPr>
          <w:rFonts w:cs="Arial"/>
          <w:szCs w:val="22"/>
        </w:rPr>
        <w:t>2003</w:t>
      </w:r>
      <w:r>
        <w:rPr>
          <w:rFonts w:cs="Arial"/>
          <w:szCs w:val="22"/>
        </w:rPr>
        <w:tab/>
        <w:t>Faculty Innovation Award</w:t>
      </w:r>
    </w:p>
    <w:p w:rsidR="00263F1B" w:rsidRPr="00AE369D" w:rsidRDefault="00263F1B" w:rsidP="00263F1B">
      <w:pPr>
        <w:tabs>
          <w:tab w:val="left" w:pos="1620"/>
        </w:tabs>
        <w:ind w:left="360"/>
        <w:jc w:val="both"/>
        <w:rPr>
          <w:rFonts w:cs="Arial"/>
          <w:szCs w:val="22"/>
        </w:rPr>
      </w:pPr>
      <w:r>
        <w:rPr>
          <w:rFonts w:cs="Arial"/>
          <w:szCs w:val="22"/>
        </w:rPr>
        <w:t>2005</w:t>
      </w:r>
      <w:r>
        <w:rPr>
          <w:rFonts w:cs="Arial"/>
          <w:szCs w:val="22"/>
        </w:rPr>
        <w:tab/>
        <w:t>Marjorie Gilbert Award</w:t>
      </w:r>
    </w:p>
    <w:p w:rsidR="00263F1B" w:rsidRDefault="00263F1B" w:rsidP="00263F1B">
      <w:pPr>
        <w:numPr>
          <w:ilvl w:val="0"/>
          <w:numId w:val="26"/>
        </w:numPr>
        <w:tabs>
          <w:tab w:val="left" w:pos="1620"/>
        </w:tabs>
        <w:jc w:val="both"/>
        <w:rPr>
          <w:rFonts w:cs="Arial"/>
          <w:szCs w:val="22"/>
        </w:rPr>
      </w:pPr>
      <w:r w:rsidRPr="00AE369D">
        <w:rPr>
          <w:rFonts w:cs="Arial"/>
          <w:szCs w:val="22"/>
        </w:rPr>
        <w:t>Petroleum Research Fund,</w:t>
      </w:r>
      <w:r>
        <w:rPr>
          <w:rFonts w:cs="Arial"/>
          <w:szCs w:val="22"/>
        </w:rPr>
        <w:t xml:space="preserve"> American Chemical Society</w:t>
      </w:r>
    </w:p>
    <w:p w:rsidR="00263F1B" w:rsidRDefault="00263F1B" w:rsidP="00263F1B">
      <w:pPr>
        <w:tabs>
          <w:tab w:val="left" w:pos="1620"/>
        </w:tabs>
        <w:ind w:left="360"/>
        <w:jc w:val="both"/>
        <w:rPr>
          <w:rFonts w:cs="Arial"/>
          <w:szCs w:val="22"/>
        </w:rPr>
      </w:pPr>
      <w:r>
        <w:rPr>
          <w:rFonts w:cs="Arial"/>
          <w:szCs w:val="22"/>
        </w:rPr>
        <w:t>2007,12</w:t>
      </w:r>
      <w:r>
        <w:rPr>
          <w:rFonts w:cs="Arial"/>
          <w:szCs w:val="22"/>
        </w:rPr>
        <w:tab/>
        <w:t>Session Chair, Molecular Parasitology Meeting</w:t>
      </w:r>
    </w:p>
    <w:p w:rsidR="004B7B11" w:rsidRPr="005F34B6" w:rsidRDefault="004B7B11" w:rsidP="00263F1B">
      <w:pPr>
        <w:tabs>
          <w:tab w:val="left" w:pos="1620"/>
        </w:tabs>
        <w:ind w:left="360"/>
        <w:jc w:val="both"/>
        <w:rPr>
          <w:rFonts w:cs="Arial"/>
          <w:szCs w:val="22"/>
        </w:rPr>
      </w:pPr>
      <w:r>
        <w:rPr>
          <w:rFonts w:cs="Arial"/>
          <w:szCs w:val="22"/>
        </w:rPr>
        <w:t>2015</w:t>
      </w:r>
      <w:r>
        <w:rPr>
          <w:rFonts w:cs="Arial"/>
          <w:szCs w:val="22"/>
        </w:rPr>
        <w:tab/>
        <w:t>Organizer, Mid-Atlantic Crystallography Meeting</w:t>
      </w:r>
    </w:p>
    <w:p w:rsidR="00B41544" w:rsidRPr="00BB2D83" w:rsidRDefault="00B41544" w:rsidP="00BD2856">
      <w:pPr>
        <w:rPr>
          <w:rFonts w:cs="Arial"/>
          <w:szCs w:val="22"/>
        </w:rPr>
      </w:pPr>
    </w:p>
    <w:p w:rsidR="00F8445E" w:rsidRDefault="00B41544" w:rsidP="00763145">
      <w:pPr>
        <w:pStyle w:val="ListParagraph"/>
        <w:numPr>
          <w:ilvl w:val="0"/>
          <w:numId w:val="21"/>
        </w:numPr>
        <w:jc w:val="both"/>
        <w:rPr>
          <w:rFonts w:cs="Arial"/>
          <w:b/>
          <w:bCs/>
          <w:szCs w:val="22"/>
        </w:rPr>
      </w:pPr>
      <w:r w:rsidRPr="0045056B">
        <w:rPr>
          <w:rFonts w:cs="Arial"/>
          <w:b/>
          <w:bCs/>
          <w:szCs w:val="22"/>
        </w:rPr>
        <w:t>Contribution to Science</w:t>
      </w:r>
    </w:p>
    <w:p w:rsidR="0045056B" w:rsidRDefault="0045056B" w:rsidP="00763145">
      <w:pPr>
        <w:pStyle w:val="ListParagraph"/>
        <w:ind w:left="360"/>
        <w:jc w:val="both"/>
        <w:rPr>
          <w:rFonts w:cs="Arial"/>
          <w:b/>
          <w:bCs/>
          <w:szCs w:val="22"/>
        </w:rPr>
      </w:pPr>
    </w:p>
    <w:p w:rsidR="00346655" w:rsidRDefault="00E8659D" w:rsidP="00763145">
      <w:pPr>
        <w:pStyle w:val="ListParagraph"/>
        <w:numPr>
          <w:ilvl w:val="0"/>
          <w:numId w:val="23"/>
        </w:numPr>
        <w:jc w:val="both"/>
        <w:rPr>
          <w:rFonts w:cs="Arial"/>
          <w:bCs/>
          <w:szCs w:val="22"/>
        </w:rPr>
      </w:pPr>
      <w:r w:rsidRPr="00E8659D">
        <w:rPr>
          <w:rFonts w:cs="Arial"/>
          <w:bCs/>
          <w:szCs w:val="22"/>
        </w:rPr>
        <w:t>Discovery of l</w:t>
      </w:r>
      <w:r w:rsidR="00B75B20" w:rsidRPr="00E8659D">
        <w:rPr>
          <w:rFonts w:cs="Arial"/>
          <w:bCs/>
          <w:szCs w:val="22"/>
        </w:rPr>
        <w:t>ipoate as an essential host factor</w:t>
      </w:r>
    </w:p>
    <w:p w:rsidR="00E8659D" w:rsidRPr="00E8659D" w:rsidRDefault="00E8659D" w:rsidP="00763145">
      <w:pPr>
        <w:pStyle w:val="ListParagraph"/>
        <w:ind w:left="360"/>
        <w:jc w:val="both"/>
        <w:rPr>
          <w:rFonts w:cs="Arial"/>
          <w:bCs/>
          <w:szCs w:val="22"/>
        </w:rPr>
      </w:pPr>
    </w:p>
    <w:p w:rsidR="00100B4D" w:rsidRPr="00E8659D" w:rsidRDefault="00346655" w:rsidP="00763145">
      <w:pPr>
        <w:jc w:val="both"/>
        <w:rPr>
          <w:rFonts w:cs="Arial"/>
          <w:color w:val="000000" w:themeColor="text1"/>
        </w:rPr>
      </w:pPr>
      <w:r w:rsidRPr="00F31829">
        <w:rPr>
          <w:rFonts w:cs="Arial"/>
        </w:rPr>
        <w:t xml:space="preserve">In the early 1980’s Jensen and coworkers used the newly discovered </w:t>
      </w:r>
      <w:r w:rsidRPr="00F31829">
        <w:rPr>
          <w:rFonts w:cs="Arial"/>
          <w:i/>
        </w:rPr>
        <w:t>in vitro</w:t>
      </w:r>
      <w:r w:rsidRPr="00F31829">
        <w:rPr>
          <w:rFonts w:cs="Arial"/>
        </w:rPr>
        <w:t xml:space="preserve"> culture conditions for </w:t>
      </w:r>
      <w:r w:rsidRPr="00F31829">
        <w:rPr>
          <w:rFonts w:cs="Arial"/>
          <w:i/>
        </w:rPr>
        <w:t>Plasmodium falciparum</w:t>
      </w:r>
      <w:r w:rsidRPr="00F31829">
        <w:rPr>
          <w:rFonts w:cs="Arial"/>
        </w:rPr>
        <w:t xml:space="preserve"> to define the essential nutrients necessary for the growth of malaria parasites.  In retrospect, it is easy to see how they missed lipoate.  Lipoate is found in small quantities in red blood cells</w:t>
      </w:r>
      <w:r w:rsidR="00065DBB">
        <w:rPr>
          <w:rFonts w:cs="Arial"/>
        </w:rPr>
        <w:t>, but it is not an explicit component of the growth medium</w:t>
      </w:r>
      <w:r w:rsidRPr="00F31829">
        <w:rPr>
          <w:rFonts w:cs="Arial"/>
        </w:rPr>
        <w:t>.</w:t>
      </w:r>
      <w:r>
        <w:rPr>
          <w:rFonts w:cs="Arial"/>
        </w:rPr>
        <w:t xml:space="preserve">  </w:t>
      </w:r>
      <w:r w:rsidR="007C3639">
        <w:rPr>
          <w:rFonts w:cs="Arial"/>
        </w:rPr>
        <w:t xml:space="preserve">We found that </w:t>
      </w:r>
      <w:r w:rsidR="00065DBB">
        <w:rPr>
          <w:rFonts w:cs="Arial"/>
        </w:rPr>
        <w:t xml:space="preserve">this small quantity of lipoate is essential for parasite survival and that </w:t>
      </w:r>
      <w:r w:rsidR="00F060E9">
        <w:rPr>
          <w:rFonts w:cs="Arial"/>
        </w:rPr>
        <w:t>scavenged lipoate</w:t>
      </w:r>
      <w:r w:rsidR="00065DBB">
        <w:rPr>
          <w:rFonts w:cs="Arial"/>
        </w:rPr>
        <w:t xml:space="preserve"> is used </w:t>
      </w:r>
      <w:r w:rsidR="00F060E9">
        <w:rPr>
          <w:rFonts w:cs="Arial"/>
        </w:rPr>
        <w:t xml:space="preserve">exclusively </w:t>
      </w:r>
      <w:r w:rsidR="00065DBB">
        <w:rPr>
          <w:rFonts w:cs="Arial"/>
        </w:rPr>
        <w:t xml:space="preserve">in the mitochondrion.  We have further investigated the role of scavenged lipoate and </w:t>
      </w:r>
      <w:r w:rsidR="00100B4D">
        <w:rPr>
          <w:rFonts w:cs="Arial"/>
        </w:rPr>
        <w:t xml:space="preserve">a biosynthetic pathway found in the apicoplast organelle, and concluded that scavenging is essential throughout the </w:t>
      </w:r>
      <w:r w:rsidR="00F060E9">
        <w:rPr>
          <w:rFonts w:cs="Arial"/>
        </w:rPr>
        <w:t xml:space="preserve">parasite </w:t>
      </w:r>
      <w:r w:rsidR="00100B4D">
        <w:rPr>
          <w:rFonts w:cs="Arial"/>
        </w:rPr>
        <w:t>life cycle, while lipoate synthesis is import</w:t>
      </w:r>
      <w:r w:rsidR="00F060E9">
        <w:rPr>
          <w:rFonts w:cs="Arial"/>
        </w:rPr>
        <w:t>ant only during liver stage development</w:t>
      </w:r>
      <w:r w:rsidR="00100B4D">
        <w:rPr>
          <w:rFonts w:cs="Arial"/>
        </w:rPr>
        <w:t xml:space="preserve">.  Recently, we focused our attention on how </w:t>
      </w:r>
      <w:r w:rsidR="00E8659D">
        <w:rPr>
          <w:rFonts w:cs="Arial"/>
        </w:rPr>
        <w:t xml:space="preserve">scavenged </w:t>
      </w:r>
      <w:r w:rsidR="00100B4D">
        <w:rPr>
          <w:rFonts w:cs="Arial"/>
        </w:rPr>
        <w:t>lipoate is used in the mitochondrion and discovered a novel mechanism that is gated by redox potential.  Under very reducing conditions, components of the citric acid cycle are activa</w:t>
      </w:r>
      <w:r w:rsidR="00E8659D">
        <w:rPr>
          <w:rFonts w:cs="Arial"/>
        </w:rPr>
        <w:t xml:space="preserve">ted by lipoate, however, subtle increases in redox potential lead to deactivation of these enzymes and activation of an </w:t>
      </w:r>
      <w:r w:rsidR="004E78B5">
        <w:rPr>
          <w:rFonts w:cs="Arial"/>
          <w:color w:val="000000" w:themeColor="text1"/>
        </w:rPr>
        <w:t xml:space="preserve">alternate pathway.  Understanding this phenomenon at the cellular and atomic levels is an active area of research. </w:t>
      </w:r>
      <w:r w:rsidR="00100B4D" w:rsidRPr="00E8659D">
        <w:rPr>
          <w:rFonts w:cs="Arial"/>
          <w:color w:val="000000" w:themeColor="text1"/>
        </w:rPr>
        <w:t xml:space="preserve"> </w:t>
      </w:r>
    </w:p>
    <w:p w:rsidR="00517AC4" w:rsidRPr="00B52CBC" w:rsidRDefault="00517AC4" w:rsidP="00763145">
      <w:pPr>
        <w:jc w:val="both"/>
        <w:rPr>
          <w:rFonts w:cs="Arial"/>
          <w:bCs/>
          <w:color w:val="000000" w:themeColor="text1"/>
          <w:szCs w:val="22"/>
        </w:rPr>
      </w:pPr>
    </w:p>
    <w:p w:rsidR="00B52CBC" w:rsidRPr="00B52CBC" w:rsidRDefault="00B52CBC" w:rsidP="00014878">
      <w:pPr>
        <w:pStyle w:val="ListParagraph"/>
        <w:adjustRightInd w:val="0"/>
        <w:spacing w:after="120"/>
        <w:ind w:hanging="360"/>
        <w:contextualSpacing w:val="0"/>
        <w:jc w:val="both"/>
        <w:rPr>
          <w:rFonts w:eastAsia="TimesNewRoman" w:cs="Arial"/>
          <w:color w:val="000000" w:themeColor="text1"/>
          <w:szCs w:val="22"/>
        </w:rPr>
      </w:pPr>
      <w:r w:rsidRPr="00B52CBC">
        <w:rPr>
          <w:rFonts w:eastAsia="TimesNewRoman" w:cs="Arial"/>
          <w:color w:val="000000" w:themeColor="text1"/>
          <w:szCs w:val="22"/>
        </w:rPr>
        <w:t xml:space="preserve">H. Jhun, M. S. Walters, and S. T. Prigge, </w:t>
      </w:r>
      <w:r w:rsidRPr="00B52CBC">
        <w:rPr>
          <w:rFonts w:cs="Arial"/>
          <w:szCs w:val="22"/>
        </w:rPr>
        <w:t xml:space="preserve">Using lipoamidase as a novel probe to interrogate the importance of lipoylation in </w:t>
      </w:r>
      <w:r w:rsidRPr="00B52CBC">
        <w:rPr>
          <w:rFonts w:cs="Arial"/>
          <w:i/>
          <w:iCs/>
          <w:szCs w:val="22"/>
        </w:rPr>
        <w:t>P. falciparum. mBio</w:t>
      </w:r>
      <w:r w:rsidRPr="00B52CBC">
        <w:rPr>
          <w:rFonts w:cs="Arial"/>
          <w:iCs/>
          <w:szCs w:val="22"/>
        </w:rPr>
        <w:t>,</w:t>
      </w:r>
      <w:r w:rsidR="00D2277B">
        <w:rPr>
          <w:rFonts w:cs="Arial"/>
          <w:iCs/>
          <w:szCs w:val="22"/>
        </w:rPr>
        <w:t xml:space="preserve"> </w:t>
      </w:r>
      <w:r w:rsidR="00640ADC">
        <w:rPr>
          <w:rFonts w:cs="Arial"/>
          <w:iCs/>
          <w:szCs w:val="22"/>
        </w:rPr>
        <w:t>9, e01872-18</w:t>
      </w:r>
      <w:r w:rsidR="00D2277B">
        <w:rPr>
          <w:rFonts w:cs="Arial"/>
          <w:iCs/>
          <w:szCs w:val="22"/>
        </w:rPr>
        <w:t xml:space="preserve"> (2018).</w:t>
      </w:r>
      <w:r w:rsidR="004C4E62">
        <w:rPr>
          <w:rFonts w:cs="Arial"/>
          <w:iCs/>
          <w:szCs w:val="22"/>
        </w:rPr>
        <w:t xml:space="preserve"> PMC6247088</w:t>
      </w:r>
    </w:p>
    <w:p w:rsidR="00E2028E" w:rsidRPr="002F3B81" w:rsidRDefault="00E2028E" w:rsidP="00014878">
      <w:pPr>
        <w:pStyle w:val="ListParagraph"/>
        <w:adjustRightInd w:val="0"/>
        <w:spacing w:after="120"/>
        <w:ind w:hanging="360"/>
        <w:contextualSpacing w:val="0"/>
        <w:jc w:val="both"/>
        <w:rPr>
          <w:rFonts w:eastAsia="TimesNewRoman" w:cs="Arial"/>
          <w:color w:val="000000" w:themeColor="text1"/>
          <w:szCs w:val="22"/>
        </w:rPr>
      </w:pPr>
      <w:r w:rsidRPr="00B52CBC">
        <w:rPr>
          <w:rFonts w:eastAsia="TimesNewRoman" w:cs="Arial"/>
          <w:color w:val="000000" w:themeColor="text1"/>
          <w:szCs w:val="22"/>
        </w:rPr>
        <w:t>G. A. Afanador, A. J. Guerra, R. P. Swift, R. E</w:t>
      </w:r>
      <w:r w:rsidRPr="002F3B81">
        <w:rPr>
          <w:rFonts w:eastAsia="TimesNewRoman" w:cs="Arial"/>
          <w:color w:val="000000" w:themeColor="text1"/>
          <w:szCs w:val="22"/>
        </w:rPr>
        <w:t xml:space="preserve">. Rodriguez, D. Bartee, K. A. Matthews, A. Schon, E. Freire, C. L. Freel Meyers, and S. T. Prigge, A novel lipoate attachment enzyme is shared by </w:t>
      </w:r>
      <w:r w:rsidRPr="002F3B81">
        <w:rPr>
          <w:rFonts w:eastAsia="TimesNewRoman" w:cs="Arial"/>
          <w:i/>
          <w:color w:val="000000" w:themeColor="text1"/>
          <w:szCs w:val="22"/>
        </w:rPr>
        <w:t>Plasmodium</w:t>
      </w:r>
      <w:r w:rsidRPr="002F3B81">
        <w:rPr>
          <w:rFonts w:eastAsia="TimesNewRoman" w:cs="Arial"/>
          <w:color w:val="000000" w:themeColor="text1"/>
          <w:szCs w:val="22"/>
        </w:rPr>
        <w:t xml:space="preserve"> and </w:t>
      </w:r>
      <w:r w:rsidRPr="002F3B81">
        <w:rPr>
          <w:rFonts w:eastAsia="TimesNewRoman" w:cs="Arial"/>
          <w:i/>
          <w:color w:val="000000" w:themeColor="text1"/>
          <w:szCs w:val="22"/>
        </w:rPr>
        <w:t>Chlamydia</w:t>
      </w:r>
      <w:r w:rsidRPr="002F3B81">
        <w:rPr>
          <w:rFonts w:eastAsia="TimesNewRoman" w:cs="Arial"/>
          <w:color w:val="000000" w:themeColor="text1"/>
          <w:szCs w:val="22"/>
        </w:rPr>
        <w:t xml:space="preserve"> species.  </w:t>
      </w:r>
      <w:r w:rsidRPr="002F3B81">
        <w:rPr>
          <w:rFonts w:eastAsia="TimesNewRoman" w:cs="Arial"/>
          <w:i/>
          <w:color w:val="000000" w:themeColor="text1"/>
          <w:szCs w:val="22"/>
        </w:rPr>
        <w:t xml:space="preserve">Mol Micro, </w:t>
      </w:r>
      <w:r w:rsidR="00354FDB" w:rsidRPr="002F3B81">
        <w:rPr>
          <w:rFonts w:eastAsia="TimesNewRoman" w:cs="Arial"/>
          <w:color w:val="000000" w:themeColor="text1"/>
          <w:szCs w:val="22"/>
        </w:rPr>
        <w:t xml:space="preserve">106, 439-451 </w:t>
      </w:r>
      <w:r w:rsidRPr="002F3B81">
        <w:rPr>
          <w:rFonts w:eastAsia="TimesNewRoman" w:cs="Arial"/>
          <w:color w:val="000000" w:themeColor="text1"/>
          <w:szCs w:val="22"/>
        </w:rPr>
        <w:t xml:space="preserve">(2017). </w:t>
      </w:r>
      <w:r w:rsidR="002F3B81" w:rsidRPr="002F3B81">
        <w:rPr>
          <w:rFonts w:cs="Arial"/>
          <w:color w:val="212121"/>
          <w:szCs w:val="22"/>
          <w:shd w:val="clear" w:color="auto" w:fill="FFFFFF"/>
        </w:rPr>
        <w:t>PMC5653438</w:t>
      </w:r>
    </w:p>
    <w:p w:rsidR="00D66D1F" w:rsidRPr="00B52CBC" w:rsidRDefault="00D66D1F" w:rsidP="00014878">
      <w:pPr>
        <w:pStyle w:val="ListParagraph"/>
        <w:adjustRightInd w:val="0"/>
        <w:spacing w:after="120"/>
        <w:ind w:hanging="360"/>
        <w:contextualSpacing w:val="0"/>
        <w:jc w:val="both"/>
        <w:rPr>
          <w:rFonts w:eastAsia="TimesNewRoman" w:cs="Arial"/>
          <w:color w:val="000000" w:themeColor="text1"/>
          <w:szCs w:val="22"/>
        </w:rPr>
      </w:pPr>
      <w:r w:rsidRPr="00B52CBC">
        <w:rPr>
          <w:rFonts w:eastAsia="TimesNewRoman" w:cs="Arial"/>
          <w:color w:val="000000" w:themeColor="text1"/>
          <w:szCs w:val="22"/>
        </w:rPr>
        <w:t xml:space="preserve">G. A. Afanador, K. A. Matthews, D. Bartee, J. E. Gisselberg, M. S. Walters, C. L. Freel Meyers, and S. T. </w:t>
      </w:r>
      <w:proofErr w:type="spellStart"/>
      <w:r w:rsidRPr="00B52CBC">
        <w:rPr>
          <w:rFonts w:eastAsia="TimesNewRoman" w:cs="Arial"/>
          <w:color w:val="000000" w:themeColor="text1"/>
          <w:szCs w:val="22"/>
        </w:rPr>
        <w:t>Prigge</w:t>
      </w:r>
      <w:proofErr w:type="spellEnd"/>
      <w:r w:rsidRPr="00B52CBC">
        <w:rPr>
          <w:rFonts w:eastAsia="TimesNewRoman" w:cs="Arial"/>
          <w:color w:val="000000" w:themeColor="text1"/>
          <w:szCs w:val="22"/>
        </w:rPr>
        <w:t xml:space="preserve">, Redox dependent lipoylation of mitochondrial proteins in </w:t>
      </w:r>
      <w:r w:rsidRPr="00B52CBC">
        <w:rPr>
          <w:rFonts w:eastAsia="TimesNewRoman" w:cs="Arial"/>
          <w:i/>
          <w:color w:val="000000" w:themeColor="text1"/>
          <w:szCs w:val="22"/>
        </w:rPr>
        <w:t>Plasmodium falciparum</w:t>
      </w:r>
      <w:r w:rsidRPr="00B52CBC">
        <w:rPr>
          <w:rFonts w:eastAsia="TimesNewRoman" w:cs="Arial"/>
          <w:color w:val="000000" w:themeColor="text1"/>
          <w:szCs w:val="22"/>
        </w:rPr>
        <w:t xml:space="preserve">.  </w:t>
      </w:r>
      <w:r w:rsidRPr="00B52CBC">
        <w:rPr>
          <w:rFonts w:eastAsia="TimesNewRoman" w:cs="Arial"/>
          <w:i/>
          <w:color w:val="000000" w:themeColor="text1"/>
          <w:szCs w:val="22"/>
        </w:rPr>
        <w:t xml:space="preserve">Mol Micro, </w:t>
      </w:r>
      <w:r w:rsidRPr="00B52CBC">
        <w:rPr>
          <w:rFonts w:eastAsia="TimesNewRoman" w:cs="Arial"/>
          <w:color w:val="000000" w:themeColor="text1"/>
          <w:szCs w:val="22"/>
        </w:rPr>
        <w:t>94, 156-171 (2014). PMC4177315</w:t>
      </w:r>
    </w:p>
    <w:p w:rsidR="00D66D1F" w:rsidRPr="00E8659D" w:rsidRDefault="00D66D1F" w:rsidP="00763145">
      <w:pPr>
        <w:pStyle w:val="ListParagraph"/>
        <w:adjustRightInd w:val="0"/>
        <w:ind w:hanging="360"/>
        <w:jc w:val="both"/>
        <w:rPr>
          <w:rFonts w:cs="Arial"/>
          <w:color w:val="000000" w:themeColor="text1"/>
          <w:szCs w:val="22"/>
        </w:rPr>
      </w:pPr>
      <w:r w:rsidRPr="00E8659D">
        <w:rPr>
          <w:rFonts w:cs="Arial"/>
          <w:color w:val="000000" w:themeColor="text1"/>
          <w:szCs w:val="22"/>
        </w:rPr>
        <w:t xml:space="preserve">M. Allary, J. Z. Lu, L. Zhu, S. T. Prigge, Scavenging of the cofactor lipoate is essential for the survival of the malaria parasite </w:t>
      </w:r>
      <w:r w:rsidRPr="00E8659D">
        <w:rPr>
          <w:rFonts w:cs="Arial"/>
          <w:i/>
          <w:color w:val="000000" w:themeColor="text1"/>
          <w:szCs w:val="22"/>
        </w:rPr>
        <w:t xml:space="preserve">Plasmodium falciparum. Mol. Micro. </w:t>
      </w:r>
      <w:r w:rsidRPr="00E8659D">
        <w:rPr>
          <w:rFonts w:cs="Arial"/>
          <w:color w:val="000000" w:themeColor="text1"/>
          <w:szCs w:val="22"/>
        </w:rPr>
        <w:t xml:space="preserve">63, 1331-1344 (2007). </w:t>
      </w:r>
      <w:r w:rsidRPr="00E8659D">
        <w:rPr>
          <w:rFonts w:cs="Arial"/>
          <w:noProof/>
          <w:color w:val="000000" w:themeColor="text1"/>
          <w:szCs w:val="22"/>
        </w:rPr>
        <w:t>PMC2796473</w:t>
      </w:r>
    </w:p>
    <w:p w:rsidR="00D66D1F" w:rsidRPr="00E8659D" w:rsidRDefault="00D66D1F" w:rsidP="00763145">
      <w:pPr>
        <w:pStyle w:val="ListParagraph"/>
        <w:ind w:left="360"/>
        <w:jc w:val="both"/>
        <w:rPr>
          <w:rFonts w:cs="Arial"/>
          <w:bCs/>
          <w:color w:val="000000" w:themeColor="text1"/>
          <w:szCs w:val="22"/>
        </w:rPr>
      </w:pPr>
    </w:p>
    <w:p w:rsidR="00D66D1F" w:rsidRPr="005F68B9" w:rsidRDefault="00E8659D" w:rsidP="00763145">
      <w:pPr>
        <w:pStyle w:val="ListParagraph"/>
        <w:numPr>
          <w:ilvl w:val="0"/>
          <w:numId w:val="23"/>
        </w:numPr>
        <w:jc w:val="both"/>
        <w:rPr>
          <w:rFonts w:cs="Arial"/>
          <w:bCs/>
          <w:szCs w:val="22"/>
        </w:rPr>
      </w:pPr>
      <w:r w:rsidRPr="005F68B9">
        <w:rPr>
          <w:rFonts w:cs="Arial"/>
          <w:bCs/>
          <w:szCs w:val="22"/>
        </w:rPr>
        <w:t>Structural enzymology:  How oxygen is activated by copper</w:t>
      </w:r>
    </w:p>
    <w:p w:rsidR="00763145" w:rsidRPr="005F68B9" w:rsidRDefault="00763145" w:rsidP="00763145">
      <w:pPr>
        <w:pStyle w:val="ListParagraph"/>
        <w:ind w:left="360"/>
        <w:jc w:val="both"/>
        <w:rPr>
          <w:rFonts w:cs="Arial"/>
          <w:bCs/>
          <w:szCs w:val="22"/>
        </w:rPr>
      </w:pPr>
    </w:p>
    <w:p w:rsidR="00763145" w:rsidRPr="005F68B9" w:rsidRDefault="00D40C80" w:rsidP="00D40C80">
      <w:pPr>
        <w:jc w:val="both"/>
        <w:rPr>
          <w:rFonts w:cs="Arial"/>
          <w:bCs/>
          <w:szCs w:val="22"/>
        </w:rPr>
      </w:pPr>
      <w:r w:rsidRPr="005F68B9">
        <w:rPr>
          <w:rFonts w:cs="Arial"/>
          <w:bCs/>
          <w:szCs w:val="22"/>
        </w:rPr>
        <w:t>A class of copper-containing dioxygenases are responsible for generating a wide array of hormones and bioactive compounds (amidated peptide hormones, epinephrine, nicotinamide, oleamide, etc.).  We gained mechanistic insight into these enzymes through a combination of biochemical assays, mutagenesis and atomic resolution x-ray crystal structures.  These data provided a framework for understanding the substra</w:t>
      </w:r>
      <w:r w:rsidR="00F67211" w:rsidRPr="005F68B9">
        <w:rPr>
          <w:rFonts w:cs="Arial"/>
          <w:bCs/>
          <w:szCs w:val="22"/>
        </w:rPr>
        <w:t xml:space="preserve">te specificity of these enzymes, the residues critical for activity and the mechanism for the chemical and electron </w:t>
      </w:r>
      <w:r w:rsidR="00F67211" w:rsidRPr="005F68B9">
        <w:rPr>
          <w:rFonts w:cs="Arial"/>
          <w:bCs/>
          <w:szCs w:val="22"/>
        </w:rPr>
        <w:lastRenderedPageBreak/>
        <w:t xml:space="preserve">transfer steps in catalysis.  </w:t>
      </w:r>
      <w:r w:rsidR="004E78B5">
        <w:rPr>
          <w:rFonts w:cs="Arial"/>
          <w:bCs/>
          <w:szCs w:val="22"/>
        </w:rPr>
        <w:t>To date, t</w:t>
      </w:r>
      <w:r w:rsidR="00F060E9">
        <w:rPr>
          <w:rFonts w:cs="Arial"/>
          <w:bCs/>
          <w:szCs w:val="22"/>
        </w:rPr>
        <w:t xml:space="preserve">his body of work remains the only </w:t>
      </w:r>
      <w:r w:rsidR="00112899">
        <w:rPr>
          <w:rFonts w:cs="Arial"/>
          <w:bCs/>
          <w:szCs w:val="22"/>
        </w:rPr>
        <w:t>atomic level</w:t>
      </w:r>
      <w:r w:rsidR="004E78B5">
        <w:rPr>
          <w:rFonts w:cs="Arial"/>
          <w:bCs/>
          <w:szCs w:val="22"/>
        </w:rPr>
        <w:t xml:space="preserve"> description </w:t>
      </w:r>
      <w:r w:rsidR="00832053">
        <w:rPr>
          <w:rFonts w:cs="Arial"/>
          <w:bCs/>
          <w:szCs w:val="22"/>
        </w:rPr>
        <w:t>for</w:t>
      </w:r>
      <w:r w:rsidR="004E78B5">
        <w:rPr>
          <w:rFonts w:cs="Arial"/>
          <w:bCs/>
          <w:szCs w:val="22"/>
        </w:rPr>
        <w:t xml:space="preserve"> this important class of enzymes.</w:t>
      </w:r>
    </w:p>
    <w:p w:rsidR="00763145" w:rsidRPr="005F68B9" w:rsidRDefault="00763145" w:rsidP="00763145">
      <w:pPr>
        <w:adjustRightInd w:val="0"/>
        <w:jc w:val="both"/>
        <w:rPr>
          <w:rFonts w:cs="Arial"/>
          <w:szCs w:val="22"/>
        </w:rPr>
      </w:pPr>
    </w:p>
    <w:p w:rsidR="00B52CBC" w:rsidRPr="00B52CBC" w:rsidRDefault="00B52CBC" w:rsidP="00B52CBC">
      <w:pPr>
        <w:pStyle w:val="ListParagraph"/>
        <w:spacing w:after="120"/>
        <w:ind w:hanging="360"/>
        <w:jc w:val="both"/>
        <w:rPr>
          <w:rFonts w:cs="Arial"/>
          <w:noProof/>
          <w:szCs w:val="22"/>
        </w:rPr>
      </w:pPr>
      <w:r w:rsidRPr="005F68B9">
        <w:rPr>
          <w:rFonts w:cs="Arial"/>
          <w:szCs w:val="22"/>
        </w:rPr>
        <w:t xml:space="preserve">E. E. </w:t>
      </w:r>
      <w:proofErr w:type="spellStart"/>
      <w:r w:rsidRPr="005F68B9">
        <w:rPr>
          <w:rFonts w:cs="Arial"/>
          <w:szCs w:val="22"/>
        </w:rPr>
        <w:t>Chufán</w:t>
      </w:r>
      <w:proofErr w:type="spellEnd"/>
      <w:r w:rsidRPr="005F68B9">
        <w:rPr>
          <w:rFonts w:cs="Arial"/>
          <w:szCs w:val="22"/>
        </w:rPr>
        <w:t xml:space="preserve">, S. T. Prigge, X. Siebert, B. A. </w:t>
      </w:r>
      <w:proofErr w:type="spellStart"/>
      <w:r w:rsidRPr="005F68B9">
        <w:rPr>
          <w:rFonts w:cs="Arial"/>
          <w:szCs w:val="22"/>
        </w:rPr>
        <w:t>Eipper</w:t>
      </w:r>
      <w:proofErr w:type="spellEnd"/>
      <w:r w:rsidRPr="005F68B9">
        <w:rPr>
          <w:rFonts w:cs="Arial"/>
          <w:szCs w:val="22"/>
        </w:rPr>
        <w:t xml:space="preserve">, R. E. Mains, L. M. Amzel. Differential reactivity between two copper sites in </w:t>
      </w:r>
      <w:proofErr w:type="spellStart"/>
      <w:r w:rsidRPr="005F68B9">
        <w:rPr>
          <w:rFonts w:cs="Arial"/>
          <w:szCs w:val="22"/>
        </w:rPr>
        <w:t>peptidylglycine</w:t>
      </w:r>
      <w:proofErr w:type="spellEnd"/>
      <w:r w:rsidRPr="005F68B9">
        <w:rPr>
          <w:rFonts w:cs="Arial"/>
          <w:szCs w:val="22"/>
        </w:rPr>
        <w:t xml:space="preserve"> α-hydroxylating monooxygenase. </w:t>
      </w:r>
      <w:r w:rsidRPr="005F68B9">
        <w:rPr>
          <w:rFonts w:cs="Arial"/>
          <w:i/>
          <w:szCs w:val="22"/>
        </w:rPr>
        <w:t>J. Am. Chem. Soc.</w:t>
      </w:r>
      <w:r w:rsidRPr="005F68B9">
        <w:rPr>
          <w:rFonts w:cs="Arial"/>
          <w:szCs w:val="22"/>
        </w:rPr>
        <w:t xml:space="preserve"> 132, 15565-15572 (2010). </w:t>
      </w:r>
      <w:r w:rsidRPr="005F68B9">
        <w:rPr>
          <w:rFonts w:cs="Arial"/>
          <w:noProof/>
          <w:szCs w:val="22"/>
        </w:rPr>
        <w:t>PMC3025614</w:t>
      </w:r>
    </w:p>
    <w:p w:rsidR="00B52CBC" w:rsidRDefault="00B52CBC" w:rsidP="00B52CBC">
      <w:pPr>
        <w:spacing w:after="120"/>
        <w:ind w:left="720" w:hanging="360"/>
        <w:jc w:val="both"/>
        <w:rPr>
          <w:rFonts w:cs="Arial"/>
          <w:color w:val="000000" w:themeColor="text1"/>
          <w:szCs w:val="22"/>
        </w:rPr>
      </w:pPr>
      <w:r w:rsidRPr="005F68B9">
        <w:rPr>
          <w:rFonts w:cs="Arial"/>
          <w:color w:val="000000" w:themeColor="text1"/>
          <w:szCs w:val="22"/>
        </w:rPr>
        <w:t xml:space="preserve">S. T. Prigge, </w:t>
      </w:r>
      <w:r>
        <w:rPr>
          <w:rFonts w:cs="Arial"/>
          <w:color w:val="000000" w:themeColor="text1"/>
          <w:szCs w:val="22"/>
        </w:rPr>
        <w:t xml:space="preserve">R. </w:t>
      </w:r>
      <w:r w:rsidRPr="005F68B9">
        <w:rPr>
          <w:rFonts w:cs="Arial"/>
          <w:color w:val="000000" w:themeColor="text1"/>
          <w:szCs w:val="22"/>
        </w:rPr>
        <w:t xml:space="preserve">E. Mains, B. A. </w:t>
      </w:r>
      <w:proofErr w:type="spellStart"/>
      <w:r w:rsidRPr="005F68B9">
        <w:rPr>
          <w:rFonts w:cs="Arial"/>
          <w:color w:val="000000" w:themeColor="text1"/>
          <w:szCs w:val="22"/>
        </w:rPr>
        <w:t>Eipper</w:t>
      </w:r>
      <w:proofErr w:type="spellEnd"/>
      <w:r w:rsidRPr="005F68B9">
        <w:rPr>
          <w:rFonts w:cs="Arial"/>
          <w:color w:val="000000" w:themeColor="text1"/>
          <w:szCs w:val="22"/>
        </w:rPr>
        <w:t xml:space="preserve">, L. M. </w:t>
      </w:r>
      <w:proofErr w:type="spellStart"/>
      <w:r w:rsidRPr="005F68B9">
        <w:rPr>
          <w:rFonts w:cs="Arial"/>
          <w:color w:val="000000" w:themeColor="text1"/>
          <w:szCs w:val="22"/>
        </w:rPr>
        <w:t>Amzel</w:t>
      </w:r>
      <w:proofErr w:type="spellEnd"/>
      <w:r w:rsidRPr="005F68B9">
        <w:rPr>
          <w:rFonts w:cs="Arial"/>
          <w:color w:val="000000" w:themeColor="text1"/>
          <w:szCs w:val="22"/>
        </w:rPr>
        <w:t>, Dioxygen binds end-on to mononuclear-copper in</w:t>
      </w:r>
      <w:r>
        <w:rPr>
          <w:rFonts w:cs="Arial"/>
          <w:color w:val="000000" w:themeColor="text1"/>
          <w:szCs w:val="22"/>
        </w:rPr>
        <w:t xml:space="preserve"> a precatalytic </w:t>
      </w:r>
      <w:r w:rsidRPr="005F68B9">
        <w:rPr>
          <w:rFonts w:cs="Arial"/>
          <w:color w:val="000000" w:themeColor="text1"/>
          <w:szCs w:val="22"/>
        </w:rPr>
        <w:t xml:space="preserve">enzyme complex, </w:t>
      </w:r>
      <w:r w:rsidRPr="005F68B9">
        <w:rPr>
          <w:rFonts w:cs="Arial"/>
          <w:i/>
          <w:iCs/>
          <w:color w:val="000000" w:themeColor="text1"/>
          <w:szCs w:val="22"/>
        </w:rPr>
        <w:t>Science</w:t>
      </w:r>
      <w:r w:rsidRPr="005F68B9">
        <w:rPr>
          <w:rFonts w:cs="Arial"/>
          <w:color w:val="000000" w:themeColor="text1"/>
          <w:szCs w:val="22"/>
        </w:rPr>
        <w:t xml:space="preserve"> 304, 864-867 (2004</w:t>
      </w:r>
      <w:r>
        <w:rPr>
          <w:rFonts w:cs="Arial"/>
          <w:color w:val="000000" w:themeColor="text1"/>
          <w:szCs w:val="22"/>
        </w:rPr>
        <w:t>).</w:t>
      </w:r>
    </w:p>
    <w:p w:rsidR="00B52CBC" w:rsidRPr="005F68B9" w:rsidRDefault="00B52CBC" w:rsidP="00B52CBC">
      <w:pPr>
        <w:spacing w:after="120"/>
        <w:ind w:left="720" w:hanging="360"/>
        <w:jc w:val="both"/>
        <w:rPr>
          <w:rFonts w:cs="Arial"/>
          <w:color w:val="000000" w:themeColor="text1"/>
          <w:szCs w:val="22"/>
        </w:rPr>
      </w:pPr>
      <w:r w:rsidRPr="005F68B9">
        <w:rPr>
          <w:rFonts w:cs="Arial"/>
          <w:color w:val="000000" w:themeColor="text1"/>
          <w:szCs w:val="22"/>
        </w:rPr>
        <w:t xml:space="preserve">S. T. Prigge, A. S. </w:t>
      </w:r>
      <w:proofErr w:type="spellStart"/>
      <w:r w:rsidRPr="005F68B9">
        <w:rPr>
          <w:rFonts w:cs="Arial"/>
          <w:color w:val="000000" w:themeColor="text1"/>
          <w:szCs w:val="22"/>
        </w:rPr>
        <w:t>Kolhekar</w:t>
      </w:r>
      <w:proofErr w:type="spellEnd"/>
      <w:r w:rsidRPr="005F68B9">
        <w:rPr>
          <w:rFonts w:cs="Arial"/>
          <w:color w:val="000000" w:themeColor="text1"/>
          <w:szCs w:val="22"/>
        </w:rPr>
        <w:t xml:space="preserve">, B. A. </w:t>
      </w:r>
      <w:proofErr w:type="spellStart"/>
      <w:r w:rsidRPr="005F68B9">
        <w:rPr>
          <w:rFonts w:cs="Arial"/>
          <w:color w:val="000000" w:themeColor="text1"/>
          <w:szCs w:val="22"/>
        </w:rPr>
        <w:t>Eipper</w:t>
      </w:r>
      <w:proofErr w:type="spellEnd"/>
      <w:r w:rsidRPr="005F68B9">
        <w:rPr>
          <w:rFonts w:cs="Arial"/>
          <w:color w:val="000000" w:themeColor="text1"/>
          <w:szCs w:val="22"/>
        </w:rPr>
        <w:t xml:space="preserve">, R. E. Mains, L. M. Amzel, Substrate-mediated electron transfer in </w:t>
      </w:r>
      <w:proofErr w:type="spellStart"/>
      <w:r w:rsidRPr="005F68B9">
        <w:rPr>
          <w:rFonts w:cs="Arial"/>
          <w:color w:val="000000" w:themeColor="text1"/>
          <w:szCs w:val="22"/>
        </w:rPr>
        <w:t>peptidylglycine</w:t>
      </w:r>
      <w:proofErr w:type="spellEnd"/>
      <w:r w:rsidRPr="005F68B9">
        <w:rPr>
          <w:rFonts w:cs="Arial"/>
          <w:color w:val="000000" w:themeColor="text1"/>
          <w:szCs w:val="22"/>
        </w:rPr>
        <w:t xml:space="preserve"> alpha-hydroxylating monooxygenase, </w:t>
      </w:r>
      <w:r w:rsidRPr="005F68B9">
        <w:rPr>
          <w:rFonts w:cs="Arial"/>
          <w:i/>
          <w:iCs/>
          <w:color w:val="000000" w:themeColor="text1"/>
          <w:szCs w:val="22"/>
        </w:rPr>
        <w:t>Nature Struct. Biol.</w:t>
      </w:r>
      <w:r w:rsidRPr="005F68B9">
        <w:rPr>
          <w:rFonts w:cs="Arial"/>
          <w:color w:val="000000" w:themeColor="text1"/>
          <w:szCs w:val="22"/>
        </w:rPr>
        <w:t xml:space="preserve"> 6, 976-983 (1999).</w:t>
      </w:r>
    </w:p>
    <w:p w:rsidR="00D66D1F" w:rsidRPr="005F68B9" w:rsidRDefault="00D66D1F" w:rsidP="00763145">
      <w:pPr>
        <w:tabs>
          <w:tab w:val="left" w:pos="720"/>
        </w:tabs>
        <w:ind w:left="720" w:hanging="360"/>
        <w:jc w:val="both"/>
        <w:rPr>
          <w:rFonts w:cs="Arial"/>
          <w:color w:val="000000" w:themeColor="text1"/>
          <w:szCs w:val="22"/>
        </w:rPr>
      </w:pPr>
      <w:r w:rsidRPr="005F68B9">
        <w:rPr>
          <w:rFonts w:cs="Arial"/>
          <w:color w:val="000000" w:themeColor="text1"/>
          <w:szCs w:val="22"/>
        </w:rPr>
        <w:t xml:space="preserve">S. T. Prigge, A. S. </w:t>
      </w:r>
      <w:proofErr w:type="spellStart"/>
      <w:r w:rsidRPr="005F68B9">
        <w:rPr>
          <w:rFonts w:cs="Arial"/>
          <w:color w:val="000000" w:themeColor="text1"/>
          <w:szCs w:val="22"/>
        </w:rPr>
        <w:t>Kolhekar</w:t>
      </w:r>
      <w:proofErr w:type="spellEnd"/>
      <w:r w:rsidRPr="005F68B9">
        <w:rPr>
          <w:rFonts w:cs="Arial"/>
          <w:color w:val="000000" w:themeColor="text1"/>
          <w:szCs w:val="22"/>
        </w:rPr>
        <w:t xml:space="preserve">, B. A. </w:t>
      </w:r>
      <w:proofErr w:type="spellStart"/>
      <w:r w:rsidRPr="005F68B9">
        <w:rPr>
          <w:rFonts w:cs="Arial"/>
          <w:color w:val="000000" w:themeColor="text1"/>
          <w:szCs w:val="22"/>
        </w:rPr>
        <w:t>Eipper</w:t>
      </w:r>
      <w:proofErr w:type="spellEnd"/>
      <w:r w:rsidRPr="005F68B9">
        <w:rPr>
          <w:rFonts w:cs="Arial"/>
          <w:color w:val="000000" w:themeColor="text1"/>
          <w:szCs w:val="22"/>
        </w:rPr>
        <w:t xml:space="preserve">, R. E. Mains, L. M. </w:t>
      </w:r>
      <w:proofErr w:type="spellStart"/>
      <w:r w:rsidRPr="005F68B9">
        <w:rPr>
          <w:rFonts w:cs="Arial"/>
          <w:color w:val="000000" w:themeColor="text1"/>
          <w:szCs w:val="22"/>
        </w:rPr>
        <w:t>Amzel</w:t>
      </w:r>
      <w:proofErr w:type="spellEnd"/>
      <w:r w:rsidRPr="005F68B9">
        <w:rPr>
          <w:rFonts w:cs="Arial"/>
          <w:color w:val="000000" w:themeColor="text1"/>
          <w:szCs w:val="22"/>
        </w:rPr>
        <w:t xml:space="preserve">, </w:t>
      </w:r>
      <w:proofErr w:type="spellStart"/>
      <w:r w:rsidRPr="005F68B9">
        <w:rPr>
          <w:rFonts w:cs="Arial"/>
          <w:color w:val="000000" w:themeColor="text1"/>
          <w:szCs w:val="22"/>
        </w:rPr>
        <w:t>Amidation</w:t>
      </w:r>
      <w:proofErr w:type="spellEnd"/>
      <w:r w:rsidRPr="005F68B9">
        <w:rPr>
          <w:rFonts w:cs="Arial"/>
          <w:color w:val="000000" w:themeColor="text1"/>
          <w:szCs w:val="22"/>
        </w:rPr>
        <w:t xml:space="preserve"> of Bioactive Peptides:  The Structure of </w:t>
      </w:r>
      <w:proofErr w:type="spellStart"/>
      <w:r w:rsidRPr="005F68B9">
        <w:rPr>
          <w:rFonts w:cs="Arial"/>
          <w:color w:val="000000" w:themeColor="text1"/>
          <w:szCs w:val="22"/>
        </w:rPr>
        <w:t>Peptidylglycine</w:t>
      </w:r>
      <w:proofErr w:type="spellEnd"/>
      <w:r w:rsidRPr="005F68B9">
        <w:rPr>
          <w:rFonts w:cs="Arial"/>
          <w:color w:val="000000" w:themeColor="text1"/>
          <w:szCs w:val="22"/>
        </w:rPr>
        <w:t xml:space="preserve"> alpha-Hydroxylating Monooxygenase, </w:t>
      </w:r>
      <w:r w:rsidRPr="005F68B9">
        <w:rPr>
          <w:rFonts w:cs="Arial"/>
          <w:i/>
          <w:iCs/>
          <w:color w:val="000000" w:themeColor="text1"/>
          <w:szCs w:val="22"/>
        </w:rPr>
        <w:t>Science</w:t>
      </w:r>
      <w:r w:rsidRPr="005F68B9">
        <w:rPr>
          <w:rFonts w:cs="Arial"/>
          <w:color w:val="000000" w:themeColor="text1"/>
          <w:szCs w:val="22"/>
        </w:rPr>
        <w:t xml:space="preserve"> 278, 1300-1305 (1997).</w:t>
      </w:r>
    </w:p>
    <w:p w:rsidR="00E8659D" w:rsidRPr="005F68B9" w:rsidRDefault="00E8659D" w:rsidP="00763145">
      <w:pPr>
        <w:tabs>
          <w:tab w:val="left" w:pos="720"/>
        </w:tabs>
        <w:ind w:left="720" w:hanging="360"/>
        <w:jc w:val="both"/>
        <w:rPr>
          <w:rFonts w:cs="Arial"/>
          <w:color w:val="000000" w:themeColor="text1"/>
          <w:szCs w:val="22"/>
        </w:rPr>
      </w:pPr>
    </w:p>
    <w:p w:rsidR="00E8659D" w:rsidRPr="005F68B9" w:rsidRDefault="003110A2" w:rsidP="00763145">
      <w:pPr>
        <w:pStyle w:val="ListParagraph"/>
        <w:numPr>
          <w:ilvl w:val="0"/>
          <w:numId w:val="23"/>
        </w:numPr>
        <w:jc w:val="both"/>
        <w:rPr>
          <w:rFonts w:cs="Arial"/>
          <w:bCs/>
          <w:szCs w:val="22"/>
        </w:rPr>
      </w:pPr>
      <w:r w:rsidRPr="005F68B9">
        <w:rPr>
          <w:rFonts w:cs="Arial"/>
          <w:bCs/>
          <w:szCs w:val="22"/>
        </w:rPr>
        <w:t xml:space="preserve">Essential role of </w:t>
      </w:r>
      <w:r w:rsidR="006E4F3A">
        <w:rPr>
          <w:rFonts w:cs="Arial"/>
          <w:bCs/>
          <w:szCs w:val="22"/>
        </w:rPr>
        <w:t>protein posttranslational modifications in</w:t>
      </w:r>
      <w:r w:rsidRPr="005F68B9">
        <w:rPr>
          <w:rFonts w:cs="Arial"/>
          <w:bCs/>
          <w:szCs w:val="22"/>
        </w:rPr>
        <w:t xml:space="preserve"> the apicoplast organelle</w:t>
      </w:r>
    </w:p>
    <w:p w:rsidR="00C27BE4" w:rsidRPr="005F68B9" w:rsidRDefault="00C27BE4" w:rsidP="00763145">
      <w:pPr>
        <w:jc w:val="both"/>
        <w:rPr>
          <w:rFonts w:cs="Arial"/>
          <w:bCs/>
          <w:szCs w:val="22"/>
        </w:rPr>
      </w:pPr>
    </w:p>
    <w:p w:rsidR="00664543" w:rsidRPr="00295142" w:rsidRDefault="00156A4D" w:rsidP="005F68B9">
      <w:pPr>
        <w:jc w:val="both"/>
        <w:rPr>
          <w:rFonts w:cs="Arial"/>
          <w:color w:val="252525"/>
          <w:szCs w:val="22"/>
          <w:shd w:val="clear" w:color="auto" w:fill="FFFFFF"/>
        </w:rPr>
      </w:pPr>
      <w:r>
        <w:rPr>
          <w:rFonts w:cs="Arial"/>
          <w:color w:val="252525"/>
          <w:szCs w:val="22"/>
          <w:shd w:val="clear" w:color="auto" w:fill="FFFFFF"/>
        </w:rPr>
        <w:t xml:space="preserve">Malaria parasites rely on the host for iron and are negatively impacted by anemia.  Despite the clinical importance of host iron status, little is known about </w:t>
      </w:r>
      <w:r w:rsidR="00F40D5B">
        <w:rPr>
          <w:rFonts w:cs="Arial"/>
          <w:color w:val="252525"/>
          <w:szCs w:val="22"/>
          <w:shd w:val="clear" w:color="auto" w:fill="FFFFFF"/>
        </w:rPr>
        <w:t>iron utilization by the parasites.  We investigated the use of iron for the synthesis of enzyme cofactors called i</w:t>
      </w:r>
      <w:r w:rsidR="005F68B9" w:rsidRPr="005F68B9">
        <w:rPr>
          <w:rFonts w:cs="Arial"/>
          <w:color w:val="252525"/>
          <w:szCs w:val="22"/>
          <w:shd w:val="clear" w:color="auto" w:fill="FFFFFF"/>
        </w:rPr>
        <w:t>ron-sulfur (FeS) clusters</w:t>
      </w:r>
      <w:r w:rsidR="00F40D5B">
        <w:rPr>
          <w:rFonts w:cs="Arial"/>
          <w:color w:val="252525"/>
          <w:szCs w:val="22"/>
          <w:shd w:val="clear" w:color="auto" w:fill="FFFFFF"/>
        </w:rPr>
        <w:t>. L</w:t>
      </w:r>
      <w:r w:rsidR="005F68B9">
        <w:rPr>
          <w:rFonts w:cs="Arial"/>
          <w:color w:val="252525"/>
          <w:szCs w:val="22"/>
          <w:shd w:val="clear" w:color="auto" w:fill="FFFFFF"/>
        </w:rPr>
        <w:t xml:space="preserve">ittle is known about the role of </w:t>
      </w:r>
      <w:r w:rsidR="00F40D5B">
        <w:rPr>
          <w:rFonts w:cs="Arial"/>
          <w:color w:val="252525"/>
          <w:szCs w:val="22"/>
          <w:shd w:val="clear" w:color="auto" w:fill="FFFFFF"/>
        </w:rPr>
        <w:t>FeS</w:t>
      </w:r>
      <w:r w:rsidR="005F68B9">
        <w:rPr>
          <w:rFonts w:cs="Arial"/>
          <w:color w:val="252525"/>
          <w:szCs w:val="22"/>
          <w:shd w:val="clear" w:color="auto" w:fill="FFFFFF"/>
        </w:rPr>
        <w:t xml:space="preserve"> proteins </w:t>
      </w:r>
      <w:r w:rsidR="00F40D5B">
        <w:rPr>
          <w:rFonts w:cs="Arial"/>
          <w:color w:val="252525"/>
          <w:szCs w:val="22"/>
          <w:shd w:val="clear" w:color="auto" w:fill="FFFFFF"/>
        </w:rPr>
        <w:t xml:space="preserve">in malaria parasites </w:t>
      </w:r>
      <w:r w:rsidR="005F68B9">
        <w:rPr>
          <w:rFonts w:cs="Arial"/>
          <w:color w:val="252525"/>
          <w:szCs w:val="22"/>
          <w:shd w:val="clear" w:color="auto" w:fill="FFFFFF"/>
        </w:rPr>
        <w:t xml:space="preserve">or </w:t>
      </w:r>
      <w:r w:rsidR="000F04FF">
        <w:rPr>
          <w:rFonts w:cs="Arial"/>
          <w:color w:val="252525"/>
          <w:szCs w:val="22"/>
          <w:shd w:val="clear" w:color="auto" w:fill="FFFFFF"/>
        </w:rPr>
        <w:t xml:space="preserve">the </w:t>
      </w:r>
      <w:r w:rsidR="005F68B9">
        <w:rPr>
          <w:rFonts w:cs="Arial"/>
          <w:color w:val="252525"/>
          <w:szCs w:val="22"/>
          <w:shd w:val="clear" w:color="auto" w:fill="FFFFFF"/>
        </w:rPr>
        <w:t xml:space="preserve">machinery required to activate them with FeS clusters.  We identified two complete biosynthetic pathways </w:t>
      </w:r>
      <w:r w:rsidR="00D441D8">
        <w:rPr>
          <w:rFonts w:cs="Arial"/>
          <w:color w:val="252525"/>
          <w:szCs w:val="22"/>
          <w:shd w:val="clear" w:color="auto" w:fill="FFFFFF"/>
        </w:rPr>
        <w:t>for the synthesis of</w:t>
      </w:r>
      <w:r w:rsidR="005F68B9">
        <w:rPr>
          <w:rFonts w:cs="Arial"/>
          <w:color w:val="252525"/>
          <w:szCs w:val="22"/>
          <w:shd w:val="clear" w:color="auto" w:fill="FFFFFF"/>
        </w:rPr>
        <w:t xml:space="preserve"> FeS clusters in malaria parasites and localized these pathways to the mitochondrion and the apicoplast organelle</w:t>
      </w:r>
      <w:r w:rsidR="000F04FF">
        <w:rPr>
          <w:rFonts w:cs="Arial"/>
          <w:color w:val="252525"/>
          <w:szCs w:val="22"/>
          <w:shd w:val="clear" w:color="auto" w:fill="FFFFFF"/>
        </w:rPr>
        <w:t>s</w:t>
      </w:r>
      <w:r w:rsidR="005F68B9">
        <w:rPr>
          <w:rFonts w:cs="Arial"/>
          <w:color w:val="252525"/>
          <w:szCs w:val="22"/>
          <w:shd w:val="clear" w:color="auto" w:fill="FFFFFF"/>
        </w:rPr>
        <w:t xml:space="preserve">.  We used a variety of approaches including a </w:t>
      </w:r>
      <w:r w:rsidR="005F68B9" w:rsidRPr="00295142">
        <w:rPr>
          <w:rFonts w:cs="Arial"/>
          <w:color w:val="252525"/>
          <w:szCs w:val="22"/>
          <w:shd w:val="clear" w:color="auto" w:fill="FFFFFF"/>
        </w:rPr>
        <w:t xml:space="preserve">dominant negative probe in conjunction with a chemical bypass system to define the role of the apicoplast FeS cluster machinery.  Disruption of the apicoplast system led to loss of the apicoplast genome and fragmentation of the organelle.  </w:t>
      </w:r>
      <w:r w:rsidR="000F68D8" w:rsidRPr="00295142">
        <w:rPr>
          <w:rFonts w:cs="Arial"/>
          <w:color w:val="252525"/>
          <w:szCs w:val="22"/>
          <w:shd w:val="clear" w:color="auto" w:fill="FFFFFF"/>
        </w:rPr>
        <w:t xml:space="preserve">These experiments demonstrated the </w:t>
      </w:r>
      <w:r w:rsidR="000F04FF" w:rsidRPr="00295142">
        <w:rPr>
          <w:rFonts w:cs="Arial"/>
          <w:color w:val="252525"/>
          <w:szCs w:val="22"/>
          <w:shd w:val="clear" w:color="auto" w:fill="FFFFFF"/>
        </w:rPr>
        <w:t xml:space="preserve">independence and the </w:t>
      </w:r>
      <w:r w:rsidR="000F68D8" w:rsidRPr="00295142">
        <w:rPr>
          <w:rFonts w:cs="Arial"/>
          <w:color w:val="252525"/>
          <w:szCs w:val="22"/>
          <w:shd w:val="clear" w:color="auto" w:fill="FFFFFF"/>
        </w:rPr>
        <w:t>essentiality of FeS cluster synthesis in the apicoplast</w:t>
      </w:r>
      <w:r w:rsidR="000F04FF" w:rsidRPr="00295142">
        <w:rPr>
          <w:rFonts w:cs="Arial"/>
          <w:color w:val="252525"/>
          <w:szCs w:val="22"/>
          <w:shd w:val="clear" w:color="auto" w:fill="FFFFFF"/>
        </w:rPr>
        <w:t xml:space="preserve">.  </w:t>
      </w:r>
      <w:r w:rsidR="000F68D8" w:rsidRPr="00295142">
        <w:rPr>
          <w:rFonts w:cs="Arial"/>
          <w:color w:val="252525"/>
          <w:szCs w:val="22"/>
          <w:shd w:val="clear" w:color="auto" w:fill="FFFFFF"/>
        </w:rPr>
        <w:t xml:space="preserve"> </w:t>
      </w:r>
      <w:r w:rsidR="000F04FF" w:rsidRPr="00295142">
        <w:rPr>
          <w:rFonts w:cs="Arial"/>
          <w:color w:val="252525"/>
          <w:szCs w:val="22"/>
          <w:shd w:val="clear" w:color="auto" w:fill="FFFFFF"/>
        </w:rPr>
        <w:t xml:space="preserve">In addition, this work exposed the down-stream pathway (the ferredoxin redox pathway) likely responsible for the catastrophic phenotype associated with </w:t>
      </w:r>
      <w:r w:rsidR="00031D4F" w:rsidRPr="00295142">
        <w:rPr>
          <w:rFonts w:cs="Arial"/>
          <w:color w:val="252525"/>
          <w:szCs w:val="22"/>
          <w:shd w:val="clear" w:color="auto" w:fill="FFFFFF"/>
        </w:rPr>
        <w:t xml:space="preserve">disruption of </w:t>
      </w:r>
      <w:r w:rsidR="000F04FF" w:rsidRPr="00295142">
        <w:rPr>
          <w:rFonts w:cs="Arial"/>
          <w:color w:val="252525"/>
          <w:szCs w:val="22"/>
          <w:shd w:val="clear" w:color="auto" w:fill="FFFFFF"/>
        </w:rPr>
        <w:t>FeS cluster synthesis</w:t>
      </w:r>
      <w:r w:rsidR="00031D4F" w:rsidRPr="00295142">
        <w:rPr>
          <w:rFonts w:cs="Arial"/>
          <w:color w:val="252525"/>
          <w:szCs w:val="22"/>
          <w:shd w:val="clear" w:color="auto" w:fill="FFFFFF"/>
        </w:rPr>
        <w:t>.</w:t>
      </w:r>
    </w:p>
    <w:p w:rsidR="005F68B9" w:rsidRPr="00295142" w:rsidRDefault="005F68B9" w:rsidP="00763145">
      <w:pPr>
        <w:jc w:val="both"/>
        <w:rPr>
          <w:rFonts w:cs="Arial"/>
          <w:bCs/>
          <w:szCs w:val="22"/>
        </w:rPr>
      </w:pPr>
    </w:p>
    <w:p w:rsidR="00295142" w:rsidRPr="00295142" w:rsidRDefault="00295142" w:rsidP="00014878">
      <w:pPr>
        <w:pStyle w:val="ListParagraph"/>
        <w:spacing w:after="120"/>
        <w:ind w:hanging="360"/>
        <w:contextualSpacing w:val="0"/>
        <w:jc w:val="both"/>
        <w:rPr>
          <w:rFonts w:cs="Arial"/>
          <w:noProof/>
          <w:szCs w:val="22"/>
        </w:rPr>
      </w:pPr>
      <w:r w:rsidRPr="00295142">
        <w:rPr>
          <w:rFonts w:cs="Arial"/>
          <w:bCs/>
          <w:szCs w:val="22"/>
        </w:rPr>
        <w:t>A. D. Roberts, S. C. Nair, A. J.</w:t>
      </w:r>
      <w:r>
        <w:rPr>
          <w:rFonts w:cs="Arial"/>
          <w:bCs/>
          <w:szCs w:val="22"/>
        </w:rPr>
        <w:t xml:space="preserve"> </w:t>
      </w:r>
      <w:r w:rsidRPr="00295142">
        <w:rPr>
          <w:rFonts w:cs="Arial"/>
          <w:bCs/>
          <w:szCs w:val="22"/>
        </w:rPr>
        <w:t xml:space="preserve">Guerra and S. T. Prigge, </w:t>
      </w:r>
      <w:r w:rsidRPr="00295142">
        <w:rPr>
          <w:rFonts w:eastAsia="Calibri" w:cs="Arial"/>
          <w:bCs/>
          <w:szCs w:val="22"/>
        </w:rPr>
        <w:t xml:space="preserve">Development of a conditional localization approach to control secretory protein trafficking in malaria parasites. </w:t>
      </w:r>
      <w:r w:rsidRPr="00295142">
        <w:rPr>
          <w:rFonts w:eastAsia="Calibri" w:cs="Arial"/>
          <w:bCs/>
          <w:i/>
          <w:szCs w:val="22"/>
        </w:rPr>
        <w:t>Traffic,</w:t>
      </w:r>
      <w:r w:rsidRPr="00295142">
        <w:rPr>
          <w:rFonts w:eastAsia="Calibri" w:cs="Arial"/>
          <w:bCs/>
          <w:szCs w:val="22"/>
        </w:rPr>
        <w:t>20, 571-582 (2019</w:t>
      </w:r>
      <w:r>
        <w:rPr>
          <w:rFonts w:eastAsia="Calibri" w:cs="Arial"/>
          <w:bCs/>
          <w:szCs w:val="22"/>
        </w:rPr>
        <w:t>). PMC6663561</w:t>
      </w:r>
    </w:p>
    <w:p w:rsidR="006E4F3A" w:rsidRPr="006E4F3A" w:rsidRDefault="006E4F3A" w:rsidP="00014878">
      <w:pPr>
        <w:pStyle w:val="ListParagraph"/>
        <w:spacing w:after="120"/>
        <w:ind w:hanging="360"/>
        <w:contextualSpacing w:val="0"/>
        <w:jc w:val="both"/>
        <w:rPr>
          <w:rFonts w:cs="Arial"/>
          <w:noProof/>
          <w:color w:val="000000" w:themeColor="text1"/>
          <w:szCs w:val="22"/>
        </w:rPr>
      </w:pPr>
      <w:r w:rsidRPr="00295142">
        <w:rPr>
          <w:rFonts w:cs="Arial"/>
          <w:noProof/>
          <w:szCs w:val="22"/>
        </w:rPr>
        <w:t>T. A. Dellibovi-Ragheb, H. Jhun, C. D. Goodman, M. S. Walters, D. R. T. Ragheb, K. A. Matthews, K. Rajaram, S. Mishra, G. I. McFadden, P. Sinnis and S. T. Prigge,  Host biotin is required for liver stage development in malaria parasites</w:t>
      </w:r>
      <w:r w:rsidRPr="006E4F3A">
        <w:rPr>
          <w:noProof/>
          <w:szCs w:val="22"/>
        </w:rPr>
        <w:t xml:space="preserve">.  </w:t>
      </w:r>
      <w:r w:rsidRPr="006E4F3A">
        <w:rPr>
          <w:i/>
          <w:noProof/>
          <w:szCs w:val="22"/>
        </w:rPr>
        <w:t>Proc Natl Acad Sci U S A</w:t>
      </w:r>
      <w:r w:rsidRPr="006E4F3A">
        <w:rPr>
          <w:noProof/>
          <w:szCs w:val="22"/>
        </w:rPr>
        <w:t>, 115, E2604-E2613 (2018).</w:t>
      </w:r>
      <w:r>
        <w:rPr>
          <w:noProof/>
          <w:szCs w:val="22"/>
        </w:rPr>
        <w:t xml:space="preserve">  PMC5856565</w:t>
      </w:r>
    </w:p>
    <w:p w:rsidR="00C27BE4" w:rsidRPr="005F68B9" w:rsidRDefault="00C27BE4" w:rsidP="00014878">
      <w:pPr>
        <w:pStyle w:val="ListParagraph"/>
        <w:spacing w:after="120"/>
        <w:ind w:hanging="360"/>
        <w:contextualSpacing w:val="0"/>
        <w:jc w:val="both"/>
        <w:rPr>
          <w:rFonts w:cs="Arial"/>
          <w:bCs/>
          <w:i/>
          <w:iCs/>
          <w:color w:val="000000" w:themeColor="text1"/>
          <w:szCs w:val="22"/>
        </w:rPr>
      </w:pPr>
      <w:r w:rsidRPr="006E4F3A">
        <w:rPr>
          <w:rFonts w:cs="Arial"/>
          <w:noProof/>
          <w:color w:val="000000" w:themeColor="text1"/>
          <w:szCs w:val="22"/>
        </w:rPr>
        <w:t>J. E. Gisselberg, T. A. Dellibovi-Ragheb, K. A. Matthews, G. Bosch and S. T. Prigge,  The suf iron-sulfur cluster synthesis pathway</w:t>
      </w:r>
      <w:r w:rsidRPr="005F68B9">
        <w:rPr>
          <w:rFonts w:cs="Arial"/>
          <w:noProof/>
          <w:color w:val="000000" w:themeColor="text1"/>
          <w:szCs w:val="22"/>
        </w:rPr>
        <w:t xml:space="preserve"> is required for apicoplast maintenance in malaria parasites.  </w:t>
      </w:r>
      <w:r w:rsidRPr="005F68B9">
        <w:rPr>
          <w:rFonts w:cs="Arial"/>
          <w:i/>
          <w:noProof/>
          <w:color w:val="000000" w:themeColor="text1"/>
          <w:szCs w:val="22"/>
        </w:rPr>
        <w:t>PLoS Pathog</w:t>
      </w:r>
      <w:r w:rsidRPr="005F68B9">
        <w:rPr>
          <w:rFonts w:cs="Arial"/>
          <w:noProof/>
          <w:color w:val="000000" w:themeColor="text1"/>
          <w:szCs w:val="22"/>
        </w:rPr>
        <w:t>, 9, e1003655 (2013). PMC3784473</w:t>
      </w:r>
    </w:p>
    <w:p w:rsidR="00C27BE4" w:rsidRDefault="00C27BE4" w:rsidP="00986215">
      <w:pPr>
        <w:ind w:left="720" w:hanging="360"/>
        <w:jc w:val="both"/>
        <w:rPr>
          <w:rFonts w:cs="Arial"/>
          <w:bCs/>
          <w:iCs/>
          <w:color w:val="000000" w:themeColor="text1"/>
          <w:szCs w:val="22"/>
        </w:rPr>
      </w:pPr>
      <w:r w:rsidRPr="005F68B9">
        <w:rPr>
          <w:rFonts w:cs="Arial"/>
          <w:noProof/>
          <w:color w:val="000000"/>
          <w:szCs w:val="22"/>
        </w:rPr>
        <w:t xml:space="preserve">T. A. Dellibovi-Ragheb, J. E. Gisselberg and S. T. Prigge,  Parasites FeS up: iron-sulfur cluster biogenesis in eukaryotic pathogens.  </w:t>
      </w:r>
      <w:r w:rsidRPr="005F68B9">
        <w:rPr>
          <w:rFonts w:cs="Arial"/>
          <w:i/>
          <w:noProof/>
          <w:color w:val="000000"/>
          <w:szCs w:val="22"/>
        </w:rPr>
        <w:t>PLoS Pathog</w:t>
      </w:r>
      <w:r w:rsidRPr="005F68B9">
        <w:rPr>
          <w:rFonts w:cs="Arial"/>
          <w:noProof/>
          <w:color w:val="000000"/>
          <w:szCs w:val="22"/>
        </w:rPr>
        <w:t>, 9, e1003227 (2013). PMC3617024</w:t>
      </w:r>
    </w:p>
    <w:p w:rsidR="00986215" w:rsidRPr="00986215" w:rsidRDefault="00986215" w:rsidP="00986215">
      <w:pPr>
        <w:ind w:left="720" w:hanging="360"/>
        <w:jc w:val="both"/>
        <w:rPr>
          <w:rFonts w:cs="Arial"/>
          <w:bCs/>
          <w:iCs/>
          <w:color w:val="000000" w:themeColor="text1"/>
          <w:szCs w:val="22"/>
        </w:rPr>
      </w:pPr>
    </w:p>
    <w:p w:rsidR="00C27BE4" w:rsidRPr="005F68B9" w:rsidRDefault="00181BE8" w:rsidP="00E8659D">
      <w:pPr>
        <w:pStyle w:val="ListParagraph"/>
        <w:numPr>
          <w:ilvl w:val="0"/>
          <w:numId w:val="23"/>
        </w:numPr>
        <w:rPr>
          <w:rFonts w:cs="Arial"/>
          <w:bCs/>
          <w:szCs w:val="22"/>
        </w:rPr>
      </w:pPr>
      <w:r>
        <w:rPr>
          <w:rFonts w:cs="Arial"/>
          <w:bCs/>
          <w:szCs w:val="22"/>
        </w:rPr>
        <w:t>C</w:t>
      </w:r>
      <w:r w:rsidR="00C27BE4" w:rsidRPr="005F68B9">
        <w:rPr>
          <w:rFonts w:cs="Arial"/>
          <w:bCs/>
          <w:szCs w:val="22"/>
        </w:rPr>
        <w:t xml:space="preserve">haracterization </w:t>
      </w:r>
      <w:r>
        <w:rPr>
          <w:rFonts w:cs="Arial"/>
          <w:bCs/>
          <w:szCs w:val="22"/>
        </w:rPr>
        <w:t xml:space="preserve">and exploitation </w:t>
      </w:r>
      <w:r w:rsidR="00C27BE4" w:rsidRPr="005F68B9">
        <w:rPr>
          <w:rFonts w:cs="Arial"/>
          <w:bCs/>
          <w:szCs w:val="22"/>
        </w:rPr>
        <w:t>of Type II fatty acid biosynthesis</w:t>
      </w:r>
      <w:r w:rsidR="001E4603">
        <w:rPr>
          <w:rFonts w:cs="Arial"/>
          <w:bCs/>
          <w:szCs w:val="22"/>
        </w:rPr>
        <w:t xml:space="preserve"> in apicomplexan </w:t>
      </w:r>
      <w:r>
        <w:rPr>
          <w:rFonts w:cs="Arial"/>
          <w:bCs/>
          <w:szCs w:val="22"/>
        </w:rPr>
        <w:t>parasites</w:t>
      </w:r>
    </w:p>
    <w:p w:rsidR="00E8659D" w:rsidRPr="005F0929" w:rsidRDefault="00E8659D" w:rsidP="00517AC4">
      <w:pPr>
        <w:tabs>
          <w:tab w:val="left" w:pos="720"/>
        </w:tabs>
        <w:ind w:left="720" w:hanging="360"/>
        <w:jc w:val="both"/>
        <w:rPr>
          <w:rFonts w:cs="Arial"/>
          <w:szCs w:val="22"/>
        </w:rPr>
      </w:pPr>
    </w:p>
    <w:p w:rsidR="005F0929" w:rsidRDefault="005F0929" w:rsidP="00F703B1">
      <w:pPr>
        <w:tabs>
          <w:tab w:val="left" w:pos="720"/>
        </w:tabs>
        <w:jc w:val="both"/>
        <w:rPr>
          <w:rFonts w:cs="Arial"/>
          <w:szCs w:val="22"/>
        </w:rPr>
      </w:pPr>
      <w:r>
        <w:rPr>
          <w:rFonts w:cs="Arial"/>
          <w:szCs w:val="22"/>
        </w:rPr>
        <w:t xml:space="preserve">It was thought that malaria parasites were not able to make fatty acids until the first chromosome of </w:t>
      </w:r>
      <w:r w:rsidRPr="005F0929">
        <w:rPr>
          <w:rFonts w:cs="Arial"/>
          <w:i/>
          <w:szCs w:val="22"/>
        </w:rPr>
        <w:t>P. falciparum</w:t>
      </w:r>
      <w:r>
        <w:rPr>
          <w:rFonts w:cs="Arial"/>
          <w:szCs w:val="22"/>
        </w:rPr>
        <w:t xml:space="preserve"> was sequenced and found to contain two genes (</w:t>
      </w:r>
      <w:r w:rsidRPr="00A77F32">
        <w:rPr>
          <w:rFonts w:cs="Arial"/>
          <w:i/>
          <w:szCs w:val="22"/>
        </w:rPr>
        <w:t xml:space="preserve">ACP </w:t>
      </w:r>
      <w:r w:rsidRPr="00A77F32">
        <w:rPr>
          <w:rFonts w:cs="Arial"/>
          <w:szCs w:val="22"/>
        </w:rPr>
        <w:t>and</w:t>
      </w:r>
      <w:r w:rsidRPr="00A77F32">
        <w:rPr>
          <w:rFonts w:cs="Arial"/>
          <w:i/>
          <w:szCs w:val="22"/>
        </w:rPr>
        <w:t xml:space="preserve"> KASIII</w:t>
      </w:r>
      <w:r>
        <w:rPr>
          <w:rFonts w:cs="Arial"/>
          <w:szCs w:val="22"/>
        </w:rPr>
        <w:t xml:space="preserve">) similar to bacterial Type II </w:t>
      </w:r>
      <w:r w:rsidRPr="005F68B9">
        <w:rPr>
          <w:rFonts w:cs="Arial"/>
          <w:bCs/>
          <w:szCs w:val="22"/>
        </w:rPr>
        <w:t>fatty acid biosynthesis</w:t>
      </w:r>
      <w:r>
        <w:rPr>
          <w:rFonts w:cs="Arial"/>
          <w:bCs/>
          <w:szCs w:val="22"/>
        </w:rPr>
        <w:t xml:space="preserve"> genes.  </w:t>
      </w:r>
      <w:r w:rsidR="00927EC0">
        <w:rPr>
          <w:rFonts w:cs="Arial"/>
          <w:bCs/>
          <w:szCs w:val="22"/>
        </w:rPr>
        <w:t>We produced the p</w:t>
      </w:r>
      <w:r w:rsidR="00510BA7">
        <w:rPr>
          <w:rFonts w:cs="Arial"/>
          <w:bCs/>
          <w:szCs w:val="22"/>
        </w:rPr>
        <w:t>roteins that these genes encode,</w:t>
      </w:r>
      <w:r w:rsidR="00927EC0">
        <w:rPr>
          <w:rFonts w:cs="Arial"/>
          <w:bCs/>
          <w:szCs w:val="22"/>
        </w:rPr>
        <w:t xml:space="preserve"> as well as other enzymes from this pathway that were subsequently discovered.  </w:t>
      </w:r>
      <w:r w:rsidR="00F97A6C">
        <w:rPr>
          <w:rFonts w:cs="Arial"/>
          <w:bCs/>
          <w:szCs w:val="22"/>
        </w:rPr>
        <w:t>Biochemical characterization demonstrated that the parasite proteins comprise</w:t>
      </w:r>
      <w:r w:rsidR="00510BA7">
        <w:rPr>
          <w:rFonts w:cs="Arial"/>
          <w:bCs/>
          <w:szCs w:val="22"/>
        </w:rPr>
        <w:t xml:space="preserve"> a</w:t>
      </w:r>
      <w:r w:rsidR="00F97A6C">
        <w:rPr>
          <w:rFonts w:cs="Arial"/>
          <w:bCs/>
          <w:szCs w:val="22"/>
        </w:rPr>
        <w:t xml:space="preserve"> biosynthesis pathway starting with acetyl-CoA and malonyl-CoA building blocks.  </w:t>
      </w:r>
      <w:r w:rsidR="00510BA7">
        <w:rPr>
          <w:rFonts w:cs="Arial"/>
          <w:bCs/>
          <w:szCs w:val="22"/>
        </w:rPr>
        <w:t xml:space="preserve">This work helped to establish the existence of a functional FASII pathway in malaria parasites and </w:t>
      </w:r>
      <w:r w:rsidR="00630307">
        <w:rPr>
          <w:rFonts w:cs="Arial"/>
          <w:bCs/>
          <w:szCs w:val="22"/>
        </w:rPr>
        <w:t xml:space="preserve">paved the way for exploitation of this pathway in other apicomplexan parasites.  In all we have published 19 papers on proteins from FASII pathways in </w:t>
      </w:r>
      <w:r w:rsidR="00630307" w:rsidRPr="00630307">
        <w:rPr>
          <w:rFonts w:cs="Arial"/>
          <w:bCs/>
          <w:i/>
          <w:szCs w:val="22"/>
        </w:rPr>
        <w:t xml:space="preserve">P. falciparum, T. gondii </w:t>
      </w:r>
      <w:r w:rsidR="00630307" w:rsidRPr="00630307">
        <w:rPr>
          <w:rFonts w:cs="Arial"/>
          <w:bCs/>
          <w:szCs w:val="22"/>
        </w:rPr>
        <w:t>and</w:t>
      </w:r>
      <w:r w:rsidR="00630307" w:rsidRPr="00630307">
        <w:rPr>
          <w:rFonts w:cs="Arial"/>
          <w:bCs/>
          <w:i/>
          <w:szCs w:val="22"/>
        </w:rPr>
        <w:t xml:space="preserve"> E. </w:t>
      </w:r>
      <w:proofErr w:type="spellStart"/>
      <w:r w:rsidR="00630307" w:rsidRPr="00630307">
        <w:rPr>
          <w:rFonts w:cs="Arial"/>
          <w:bCs/>
          <w:i/>
          <w:szCs w:val="22"/>
        </w:rPr>
        <w:t>tenella</w:t>
      </w:r>
      <w:proofErr w:type="spellEnd"/>
      <w:r w:rsidR="00630307">
        <w:rPr>
          <w:rFonts w:cs="Arial"/>
          <w:bCs/>
          <w:szCs w:val="22"/>
        </w:rPr>
        <w:t xml:space="preserve">. </w:t>
      </w:r>
      <w:r w:rsidR="00510BA7">
        <w:rPr>
          <w:rFonts w:cs="Arial"/>
          <w:bCs/>
          <w:szCs w:val="22"/>
        </w:rPr>
        <w:t xml:space="preserve"> </w:t>
      </w:r>
      <w:r w:rsidR="00630307">
        <w:rPr>
          <w:rFonts w:cs="Arial"/>
          <w:bCs/>
          <w:szCs w:val="22"/>
        </w:rPr>
        <w:t xml:space="preserve">These publications detail the initial characterization of these pathways, the trafficking of the nuclear-encoded </w:t>
      </w:r>
      <w:r w:rsidR="00D16456">
        <w:rPr>
          <w:rFonts w:cs="Arial"/>
          <w:bCs/>
          <w:szCs w:val="22"/>
        </w:rPr>
        <w:t xml:space="preserve">FASII </w:t>
      </w:r>
      <w:r w:rsidR="00630307">
        <w:rPr>
          <w:rFonts w:cs="Arial"/>
          <w:bCs/>
          <w:szCs w:val="22"/>
        </w:rPr>
        <w:t xml:space="preserve">proteins to the apicoplast, and efforts to target FASII enzymes with novel antiparasitic agents.   </w:t>
      </w:r>
    </w:p>
    <w:p w:rsidR="00F703B1" w:rsidRPr="005F0929" w:rsidRDefault="00F703B1" w:rsidP="005F0929">
      <w:pPr>
        <w:tabs>
          <w:tab w:val="left" w:pos="720"/>
        </w:tabs>
        <w:jc w:val="both"/>
        <w:rPr>
          <w:rFonts w:cs="Arial"/>
          <w:szCs w:val="22"/>
        </w:rPr>
      </w:pPr>
    </w:p>
    <w:p w:rsidR="00517AC4" w:rsidRPr="001C398A" w:rsidRDefault="00F703B1" w:rsidP="00014878">
      <w:pPr>
        <w:pStyle w:val="ListParagraph"/>
        <w:spacing w:after="120"/>
        <w:ind w:hanging="360"/>
        <w:jc w:val="both"/>
        <w:rPr>
          <w:rFonts w:cs="Arial"/>
          <w:noProof/>
          <w:color w:val="000000" w:themeColor="text1"/>
          <w:szCs w:val="22"/>
        </w:rPr>
      </w:pPr>
      <w:r w:rsidRPr="005F0929">
        <w:rPr>
          <w:rFonts w:cs="Arial"/>
          <w:noProof/>
          <w:szCs w:val="22"/>
        </w:rPr>
        <w:t>G. A.</w:t>
      </w:r>
      <w:r w:rsidRPr="001C398A">
        <w:rPr>
          <w:rFonts w:cs="Arial"/>
          <w:noProof/>
          <w:color w:val="000000" w:themeColor="text1"/>
          <w:szCs w:val="22"/>
        </w:rPr>
        <w:t xml:space="preserve"> Afanador, S. P. Muench, M. McPhillie, A. Fomovska, A. Schon, Y. Zhou, G. Cheng, J. Stec, J. S. Freundlich, H. M. Shieh, J. W. Anderson, D. P. Jacobus, D. A. Fidock, A. P. Kozikowski, C. W. </w:t>
      </w:r>
      <w:r w:rsidRPr="001C398A">
        <w:rPr>
          <w:rFonts w:cs="Arial"/>
          <w:noProof/>
          <w:color w:val="000000" w:themeColor="text1"/>
          <w:szCs w:val="22"/>
        </w:rPr>
        <w:lastRenderedPageBreak/>
        <w:t xml:space="preserve">Fishwick, D. W. Rice, E. Freire, R. McLeod and S. T. Prigge,  Discrimination of Potent Inhibitors of </w:t>
      </w:r>
      <w:r w:rsidRPr="001C398A">
        <w:rPr>
          <w:rFonts w:cs="Arial"/>
          <w:i/>
          <w:noProof/>
          <w:color w:val="000000" w:themeColor="text1"/>
          <w:szCs w:val="22"/>
        </w:rPr>
        <w:t>Toxoplasma gondii</w:t>
      </w:r>
      <w:r w:rsidRPr="001C398A">
        <w:rPr>
          <w:rFonts w:cs="Arial"/>
          <w:noProof/>
          <w:color w:val="000000" w:themeColor="text1"/>
          <w:szCs w:val="22"/>
        </w:rPr>
        <w:t xml:space="preserve"> Enoyl-Acyl Carrier Protein Reductase by a Thermal Shift Assay.  </w:t>
      </w:r>
      <w:r w:rsidRPr="001C398A">
        <w:rPr>
          <w:rFonts w:cs="Arial"/>
          <w:i/>
          <w:noProof/>
          <w:color w:val="000000" w:themeColor="text1"/>
          <w:szCs w:val="22"/>
        </w:rPr>
        <w:t>Biochemistry</w:t>
      </w:r>
      <w:r w:rsidRPr="001C398A">
        <w:rPr>
          <w:rFonts w:cs="Arial"/>
          <w:noProof/>
          <w:color w:val="000000" w:themeColor="text1"/>
          <w:szCs w:val="22"/>
        </w:rPr>
        <w:t xml:space="preserve">, 52, 9155-66 (2013). </w:t>
      </w:r>
      <w:r w:rsidRPr="001C398A">
        <w:rPr>
          <w:rFonts w:cs="Arial"/>
          <w:color w:val="000000" w:themeColor="text1"/>
          <w:szCs w:val="22"/>
          <w:shd w:val="clear" w:color="auto" w:fill="FFFFFF"/>
        </w:rPr>
        <w:t>PMC3953223</w:t>
      </w:r>
    </w:p>
    <w:p w:rsidR="00CC6B5D" w:rsidRPr="001C398A" w:rsidRDefault="00CC6B5D" w:rsidP="00014878">
      <w:pPr>
        <w:spacing w:after="120"/>
        <w:ind w:left="720" w:hanging="360"/>
        <w:jc w:val="both"/>
        <w:rPr>
          <w:rFonts w:cs="Arial"/>
          <w:noProof/>
          <w:color w:val="000000" w:themeColor="text1"/>
          <w:szCs w:val="22"/>
        </w:rPr>
      </w:pPr>
      <w:r w:rsidRPr="001C398A">
        <w:rPr>
          <w:rFonts w:cs="Arial"/>
          <w:color w:val="000000" w:themeColor="text1"/>
          <w:szCs w:val="22"/>
        </w:rPr>
        <w:t xml:space="preserve">J. R. Gallagher, K. A. Matthews, S. T. Prigge, </w:t>
      </w:r>
      <w:r w:rsidRPr="001C398A">
        <w:rPr>
          <w:rFonts w:cs="Arial"/>
          <w:i/>
          <w:color w:val="000000" w:themeColor="text1"/>
          <w:szCs w:val="22"/>
        </w:rPr>
        <w:t>Plasmodium falciparum</w:t>
      </w:r>
      <w:r w:rsidRPr="001C398A">
        <w:rPr>
          <w:rFonts w:cs="Arial"/>
          <w:color w:val="000000" w:themeColor="text1"/>
          <w:szCs w:val="22"/>
        </w:rPr>
        <w:t xml:space="preserve"> apicoplast transit peptides are unstructured </w:t>
      </w:r>
      <w:r w:rsidRPr="001C398A">
        <w:rPr>
          <w:rFonts w:cs="Arial"/>
          <w:i/>
          <w:color w:val="000000" w:themeColor="text1"/>
          <w:szCs w:val="22"/>
        </w:rPr>
        <w:t>in vitro</w:t>
      </w:r>
      <w:r w:rsidRPr="001C398A">
        <w:rPr>
          <w:rFonts w:cs="Arial"/>
          <w:color w:val="000000" w:themeColor="text1"/>
          <w:szCs w:val="22"/>
        </w:rPr>
        <w:t xml:space="preserve"> and during apicoplast import. </w:t>
      </w:r>
      <w:r w:rsidRPr="001C398A">
        <w:rPr>
          <w:rFonts w:cs="Arial"/>
          <w:i/>
          <w:color w:val="000000" w:themeColor="text1"/>
          <w:szCs w:val="22"/>
        </w:rPr>
        <w:t xml:space="preserve">Traffic, </w:t>
      </w:r>
      <w:r w:rsidRPr="001C398A">
        <w:rPr>
          <w:rFonts w:cs="Arial"/>
          <w:color w:val="000000" w:themeColor="text1"/>
          <w:szCs w:val="22"/>
        </w:rPr>
        <w:t xml:space="preserve">12, 1124-1138 (2011). </w:t>
      </w:r>
      <w:r w:rsidRPr="001C398A">
        <w:rPr>
          <w:rFonts w:cs="Arial"/>
          <w:noProof/>
          <w:color w:val="000000" w:themeColor="text1"/>
          <w:szCs w:val="22"/>
        </w:rPr>
        <w:t>PMC3629917</w:t>
      </w:r>
    </w:p>
    <w:p w:rsidR="00154ABB" w:rsidRPr="001C398A" w:rsidRDefault="00154ABB" w:rsidP="00014878">
      <w:pPr>
        <w:spacing w:after="120"/>
        <w:ind w:left="720" w:hanging="360"/>
        <w:jc w:val="both"/>
        <w:rPr>
          <w:rFonts w:cs="Arial"/>
          <w:i/>
          <w:color w:val="000000" w:themeColor="text1"/>
          <w:szCs w:val="22"/>
        </w:rPr>
      </w:pPr>
      <w:r w:rsidRPr="001C398A">
        <w:rPr>
          <w:rFonts w:cs="Arial"/>
          <w:color w:val="000000" w:themeColor="text1"/>
          <w:szCs w:val="22"/>
        </w:rPr>
        <w:t xml:space="preserve">J. R. Gallagher, S. T. Prigge, </w:t>
      </w:r>
      <w:r w:rsidRPr="001C398A">
        <w:rPr>
          <w:rFonts w:cs="Arial"/>
          <w:i/>
          <w:color w:val="000000" w:themeColor="text1"/>
          <w:szCs w:val="22"/>
        </w:rPr>
        <w:t xml:space="preserve">Plasmodium </w:t>
      </w:r>
      <w:r w:rsidRPr="001C398A">
        <w:rPr>
          <w:rStyle w:val="Strong"/>
          <w:rFonts w:cs="Arial"/>
          <w:b w:val="0"/>
          <w:i/>
          <w:iCs/>
          <w:color w:val="000000" w:themeColor="text1"/>
          <w:szCs w:val="22"/>
        </w:rPr>
        <w:t>falciparum</w:t>
      </w:r>
      <w:r w:rsidRPr="001C398A">
        <w:rPr>
          <w:rStyle w:val="Strong"/>
          <w:rFonts w:cs="Arial"/>
          <w:b w:val="0"/>
          <w:color w:val="000000" w:themeColor="text1"/>
          <w:szCs w:val="22"/>
        </w:rPr>
        <w:t xml:space="preserve"> acyl carrier protein crystal structures in disulfide-linked and reduced states and their prevalence during blood stage growth</w:t>
      </w:r>
      <w:r w:rsidRPr="001C398A">
        <w:rPr>
          <w:rFonts w:cs="Arial"/>
          <w:color w:val="000000" w:themeColor="text1"/>
          <w:szCs w:val="22"/>
        </w:rPr>
        <w:t xml:space="preserve">. </w:t>
      </w:r>
      <w:r w:rsidRPr="001C398A">
        <w:rPr>
          <w:rFonts w:cs="Arial"/>
          <w:i/>
          <w:color w:val="000000" w:themeColor="text1"/>
          <w:szCs w:val="22"/>
        </w:rPr>
        <w:t>Proteins</w:t>
      </w:r>
      <w:r w:rsidRPr="001C398A">
        <w:rPr>
          <w:rFonts w:cs="Arial"/>
          <w:color w:val="000000" w:themeColor="text1"/>
          <w:szCs w:val="22"/>
        </w:rPr>
        <w:t xml:space="preserve"> 78, 575-588 (2010). </w:t>
      </w:r>
      <w:r w:rsidRPr="001C398A">
        <w:rPr>
          <w:rFonts w:cs="Arial"/>
          <w:noProof/>
          <w:color w:val="000000" w:themeColor="text1"/>
          <w:szCs w:val="22"/>
        </w:rPr>
        <w:t>PMC2805782</w:t>
      </w:r>
    </w:p>
    <w:p w:rsidR="00C27BE4" w:rsidRPr="00255D35" w:rsidRDefault="00154ABB" w:rsidP="00255D35">
      <w:pPr>
        <w:adjustRightInd w:val="0"/>
        <w:ind w:left="720" w:hanging="360"/>
        <w:jc w:val="both"/>
        <w:rPr>
          <w:rFonts w:cs="Arial"/>
          <w:color w:val="000000" w:themeColor="text1"/>
          <w:szCs w:val="22"/>
        </w:rPr>
      </w:pPr>
      <w:r w:rsidRPr="001C398A">
        <w:rPr>
          <w:rFonts w:cs="Arial"/>
          <w:color w:val="000000" w:themeColor="text1"/>
          <w:szCs w:val="22"/>
        </w:rPr>
        <w:t xml:space="preserve">S. T. Prigge, X. He, L. </w:t>
      </w:r>
      <w:proofErr w:type="spellStart"/>
      <w:r w:rsidRPr="001C398A">
        <w:rPr>
          <w:rFonts w:cs="Arial"/>
          <w:color w:val="000000" w:themeColor="text1"/>
          <w:szCs w:val="22"/>
        </w:rPr>
        <w:t>Gerena</w:t>
      </w:r>
      <w:proofErr w:type="spellEnd"/>
      <w:r w:rsidRPr="001C398A">
        <w:rPr>
          <w:rFonts w:cs="Arial"/>
          <w:color w:val="000000" w:themeColor="text1"/>
          <w:szCs w:val="22"/>
        </w:rPr>
        <w:t xml:space="preserve">, N. C. Waters, K. A. Reynolds, The initiating steps of a Type II fatty acid synthase in </w:t>
      </w:r>
      <w:r w:rsidRPr="001C398A">
        <w:rPr>
          <w:rFonts w:cs="Arial"/>
          <w:i/>
          <w:iCs/>
          <w:color w:val="000000" w:themeColor="text1"/>
          <w:szCs w:val="22"/>
        </w:rPr>
        <w:t>Plasmodium falciparum</w:t>
      </w:r>
      <w:r w:rsidRPr="001C398A">
        <w:rPr>
          <w:rFonts w:cs="Arial"/>
          <w:color w:val="000000" w:themeColor="text1"/>
          <w:szCs w:val="22"/>
        </w:rPr>
        <w:t xml:space="preserve"> are catalyzed by </w:t>
      </w:r>
      <w:proofErr w:type="spellStart"/>
      <w:r w:rsidRPr="001C398A">
        <w:rPr>
          <w:rFonts w:cs="Arial"/>
          <w:color w:val="000000" w:themeColor="text1"/>
          <w:szCs w:val="22"/>
        </w:rPr>
        <w:t>pfACP</w:t>
      </w:r>
      <w:proofErr w:type="spellEnd"/>
      <w:r w:rsidRPr="001C398A">
        <w:rPr>
          <w:rFonts w:cs="Arial"/>
          <w:color w:val="000000" w:themeColor="text1"/>
          <w:szCs w:val="22"/>
        </w:rPr>
        <w:t xml:space="preserve">, </w:t>
      </w:r>
      <w:proofErr w:type="spellStart"/>
      <w:r w:rsidRPr="001C398A">
        <w:rPr>
          <w:rFonts w:cs="Arial"/>
          <w:color w:val="000000" w:themeColor="text1"/>
          <w:szCs w:val="22"/>
        </w:rPr>
        <w:t>pfMCAT</w:t>
      </w:r>
      <w:proofErr w:type="spellEnd"/>
      <w:r w:rsidRPr="001C398A">
        <w:rPr>
          <w:rFonts w:cs="Arial"/>
          <w:color w:val="000000" w:themeColor="text1"/>
          <w:szCs w:val="22"/>
        </w:rPr>
        <w:t xml:space="preserve"> and </w:t>
      </w:r>
      <w:proofErr w:type="spellStart"/>
      <w:r w:rsidRPr="001C398A">
        <w:rPr>
          <w:rFonts w:cs="Arial"/>
          <w:color w:val="000000" w:themeColor="text1"/>
          <w:szCs w:val="22"/>
        </w:rPr>
        <w:t>pfKASIII</w:t>
      </w:r>
      <w:proofErr w:type="spellEnd"/>
      <w:r w:rsidRPr="001C398A">
        <w:rPr>
          <w:rFonts w:cs="Arial"/>
          <w:color w:val="000000" w:themeColor="text1"/>
          <w:szCs w:val="22"/>
        </w:rPr>
        <w:t xml:space="preserve">, </w:t>
      </w:r>
      <w:r w:rsidRPr="001C398A">
        <w:rPr>
          <w:rFonts w:cs="Arial"/>
          <w:i/>
          <w:iCs/>
          <w:color w:val="000000" w:themeColor="text1"/>
          <w:szCs w:val="22"/>
        </w:rPr>
        <w:t>Biochemistry</w:t>
      </w:r>
      <w:r w:rsidRPr="001C398A">
        <w:rPr>
          <w:rFonts w:cs="Arial"/>
          <w:color w:val="000000" w:themeColor="text1"/>
          <w:szCs w:val="22"/>
        </w:rPr>
        <w:t xml:space="preserve"> 42, 1160-1169 (2003).</w:t>
      </w:r>
    </w:p>
    <w:p w:rsidR="00F37FFE" w:rsidRPr="006D0CCD" w:rsidRDefault="00F37FFE" w:rsidP="00F8445E">
      <w:pPr>
        <w:rPr>
          <w:rFonts w:cs="Arial"/>
          <w:bCs/>
          <w:szCs w:val="22"/>
        </w:rPr>
      </w:pPr>
    </w:p>
    <w:p w:rsidR="006D0CCD" w:rsidRPr="006D0CCD" w:rsidRDefault="00D04F1F" w:rsidP="006D0CCD">
      <w:pPr>
        <w:rPr>
          <w:rFonts w:cs="Arial"/>
          <w:b/>
          <w:bCs/>
          <w:szCs w:val="22"/>
          <w:u w:val="single"/>
        </w:rPr>
      </w:pPr>
      <w:r w:rsidRPr="006D0CCD">
        <w:rPr>
          <w:b/>
          <w:szCs w:val="22"/>
          <w:u w:val="single"/>
        </w:rPr>
        <w:t xml:space="preserve">Complete List of Published Work in </w:t>
      </w:r>
      <w:proofErr w:type="spellStart"/>
      <w:r w:rsidRPr="006D0CCD">
        <w:rPr>
          <w:b/>
          <w:szCs w:val="22"/>
          <w:u w:val="single"/>
        </w:rPr>
        <w:t>MyBibliography</w:t>
      </w:r>
      <w:proofErr w:type="spellEnd"/>
      <w:r w:rsidR="00B420D5">
        <w:rPr>
          <w:b/>
          <w:szCs w:val="22"/>
          <w:u w:val="single"/>
        </w:rPr>
        <w:t xml:space="preserve"> (</w:t>
      </w:r>
      <w:r w:rsidR="00BD767D">
        <w:rPr>
          <w:b/>
          <w:szCs w:val="22"/>
          <w:u w:val="single"/>
        </w:rPr>
        <w:t>6</w:t>
      </w:r>
      <w:r w:rsidR="00922FCF">
        <w:rPr>
          <w:b/>
          <w:szCs w:val="22"/>
          <w:u w:val="single"/>
        </w:rPr>
        <w:t>4</w:t>
      </w:r>
      <w:r w:rsidR="00B420D5">
        <w:rPr>
          <w:b/>
          <w:szCs w:val="22"/>
          <w:u w:val="single"/>
        </w:rPr>
        <w:t xml:space="preserve"> publications)</w:t>
      </w:r>
      <w:r w:rsidRPr="006D0CCD">
        <w:rPr>
          <w:b/>
          <w:szCs w:val="22"/>
          <w:u w:val="single"/>
        </w:rPr>
        <w:t xml:space="preserve">:   </w:t>
      </w:r>
    </w:p>
    <w:p w:rsidR="00DC3955" w:rsidRDefault="002F342A" w:rsidP="00F36A15">
      <w:pPr>
        <w:pStyle w:val="Default"/>
        <w:rPr>
          <w:b/>
          <w:bCs/>
          <w:sz w:val="22"/>
          <w:szCs w:val="22"/>
        </w:rPr>
      </w:pPr>
      <w:hyperlink r:id="rId10" w:history="1">
        <w:r w:rsidR="00DC3955">
          <w:rPr>
            <w:rStyle w:val="Hyperlink"/>
            <w:rFonts w:ascii="Helvetica" w:hAnsi="Helvetica"/>
            <w:color w:val="4C2C92"/>
            <w:sz w:val="23"/>
            <w:szCs w:val="23"/>
            <w:shd w:val="clear" w:color="auto" w:fill="FFFFFF"/>
          </w:rPr>
          <w:t>https://www.ncbi.nlm.nih.gov/myncbi/sean.prigge.1/bibliography/public/</w:t>
        </w:r>
      </w:hyperlink>
    </w:p>
    <w:p w:rsidR="00B03742" w:rsidRPr="00B03742" w:rsidRDefault="00B03742" w:rsidP="0052204B">
      <w:pPr>
        <w:pStyle w:val="DataField11pt-Single"/>
        <w:rPr>
          <w:rStyle w:val="Strong"/>
          <w:szCs w:val="22"/>
        </w:rPr>
      </w:pPr>
    </w:p>
    <w:sectPr w:rsidR="00B03742" w:rsidRPr="00B03742"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42A" w:rsidRDefault="002F342A">
      <w:r>
        <w:separator/>
      </w:r>
    </w:p>
  </w:endnote>
  <w:endnote w:type="continuationSeparator" w:id="0">
    <w:p w:rsidR="002F342A" w:rsidRDefault="002F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TimesNewRoman">
    <w:altName w:val="MS Mincho"/>
    <w:panose1 w:val="020B0604020202020204"/>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42A" w:rsidRDefault="002F342A">
      <w:r>
        <w:separator/>
      </w:r>
    </w:p>
  </w:footnote>
  <w:footnote w:type="continuationSeparator" w:id="0">
    <w:p w:rsidR="002F342A" w:rsidRDefault="002F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9D2E33"/>
    <w:multiLevelType w:val="hybridMultilevel"/>
    <w:tmpl w:val="2E62CA90"/>
    <w:lvl w:ilvl="0" w:tplc="D49AC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54D3D9E"/>
    <w:multiLevelType w:val="hybridMultilevel"/>
    <w:tmpl w:val="47A2A8C4"/>
    <w:lvl w:ilvl="0" w:tplc="2AFED3BA">
      <w:start w:val="200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807BBA"/>
    <w:multiLevelType w:val="hybridMultilevel"/>
    <w:tmpl w:val="6D34C91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D9764E"/>
    <w:multiLevelType w:val="hybridMultilevel"/>
    <w:tmpl w:val="7DFA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A2B5DC1"/>
    <w:multiLevelType w:val="hybridMultilevel"/>
    <w:tmpl w:val="4BB6F0D4"/>
    <w:lvl w:ilvl="0" w:tplc="AD90FB84">
      <w:start w:val="1"/>
      <w:numFmt w:val="decimal"/>
      <w:lvlText w:val="%1."/>
      <w:lvlJc w:val="left"/>
      <w:pPr>
        <w:ind w:left="1425" w:hanging="360"/>
      </w:pPr>
      <w:rPr>
        <w:rFonts w:hint="default"/>
        <w:i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63DF3"/>
    <w:multiLevelType w:val="hybridMultilevel"/>
    <w:tmpl w:val="A1EA1B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82C7BC8"/>
    <w:multiLevelType w:val="hybridMultilevel"/>
    <w:tmpl w:val="9D961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0C29FC"/>
    <w:multiLevelType w:val="hybridMultilevel"/>
    <w:tmpl w:val="B81A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2"/>
  </w:num>
  <w:num w:numId="15">
    <w:abstractNumId w:val="19"/>
  </w:num>
  <w:num w:numId="16">
    <w:abstractNumId w:val="21"/>
  </w:num>
  <w:num w:numId="17">
    <w:abstractNumId w:val="10"/>
  </w:num>
  <w:num w:numId="18">
    <w:abstractNumId w:val="14"/>
  </w:num>
  <w:num w:numId="19">
    <w:abstractNumId w:val="23"/>
  </w:num>
  <w:num w:numId="20">
    <w:abstractNumId w:val="16"/>
  </w:num>
  <w:num w:numId="21">
    <w:abstractNumId w:val="15"/>
  </w:num>
  <w:num w:numId="22">
    <w:abstractNumId w:val="24"/>
  </w:num>
  <w:num w:numId="23">
    <w:abstractNumId w:val="20"/>
  </w:num>
  <w:num w:numId="24">
    <w:abstractNumId w:val="11"/>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6A45"/>
    <w:rsid w:val="00007231"/>
    <w:rsid w:val="000124CA"/>
    <w:rsid w:val="00014878"/>
    <w:rsid w:val="00023A7A"/>
    <w:rsid w:val="00031D4F"/>
    <w:rsid w:val="00050BBA"/>
    <w:rsid w:val="00061FE9"/>
    <w:rsid w:val="0006511D"/>
    <w:rsid w:val="00065DBB"/>
    <w:rsid w:val="00067621"/>
    <w:rsid w:val="0007391D"/>
    <w:rsid w:val="00075AEE"/>
    <w:rsid w:val="000E3BEC"/>
    <w:rsid w:val="000E5539"/>
    <w:rsid w:val="000F04FF"/>
    <w:rsid w:val="000F68D8"/>
    <w:rsid w:val="00100B4D"/>
    <w:rsid w:val="00107E34"/>
    <w:rsid w:val="00110A62"/>
    <w:rsid w:val="00112899"/>
    <w:rsid w:val="00113B0A"/>
    <w:rsid w:val="00122EB3"/>
    <w:rsid w:val="00124A57"/>
    <w:rsid w:val="00132CA6"/>
    <w:rsid w:val="0014571A"/>
    <w:rsid w:val="001466A2"/>
    <w:rsid w:val="00154ABB"/>
    <w:rsid w:val="00156A4D"/>
    <w:rsid w:val="00170D87"/>
    <w:rsid w:val="00177D49"/>
    <w:rsid w:val="00181BE8"/>
    <w:rsid w:val="00185F14"/>
    <w:rsid w:val="001962A7"/>
    <w:rsid w:val="001A7A54"/>
    <w:rsid w:val="001C065C"/>
    <w:rsid w:val="001C398A"/>
    <w:rsid w:val="001E4603"/>
    <w:rsid w:val="0021719B"/>
    <w:rsid w:val="002506F6"/>
    <w:rsid w:val="00255D35"/>
    <w:rsid w:val="00263F1B"/>
    <w:rsid w:val="002671F1"/>
    <w:rsid w:val="00274730"/>
    <w:rsid w:val="0028051C"/>
    <w:rsid w:val="00295142"/>
    <w:rsid w:val="00296DC2"/>
    <w:rsid w:val="002B7443"/>
    <w:rsid w:val="002D7520"/>
    <w:rsid w:val="002E5125"/>
    <w:rsid w:val="002F342A"/>
    <w:rsid w:val="002F3B81"/>
    <w:rsid w:val="003110A2"/>
    <w:rsid w:val="003117F9"/>
    <w:rsid w:val="00320CCE"/>
    <w:rsid w:val="00321A19"/>
    <w:rsid w:val="00323310"/>
    <w:rsid w:val="00323FCA"/>
    <w:rsid w:val="00346655"/>
    <w:rsid w:val="0035045F"/>
    <w:rsid w:val="00354FDB"/>
    <w:rsid w:val="00367F5E"/>
    <w:rsid w:val="00373CB7"/>
    <w:rsid w:val="0037667F"/>
    <w:rsid w:val="00382AB6"/>
    <w:rsid w:val="00383712"/>
    <w:rsid w:val="00392933"/>
    <w:rsid w:val="003A5113"/>
    <w:rsid w:val="003B52F8"/>
    <w:rsid w:val="003C2647"/>
    <w:rsid w:val="003C62D6"/>
    <w:rsid w:val="003C74EE"/>
    <w:rsid w:val="003D2399"/>
    <w:rsid w:val="003D4DC5"/>
    <w:rsid w:val="003E2154"/>
    <w:rsid w:val="003F6A45"/>
    <w:rsid w:val="003F7674"/>
    <w:rsid w:val="00407613"/>
    <w:rsid w:val="004225DF"/>
    <w:rsid w:val="00432346"/>
    <w:rsid w:val="004464F9"/>
    <w:rsid w:val="00447F3A"/>
    <w:rsid w:val="0045056B"/>
    <w:rsid w:val="0045164E"/>
    <w:rsid w:val="004615DB"/>
    <w:rsid w:val="00462B3D"/>
    <w:rsid w:val="00467184"/>
    <w:rsid w:val="004759D9"/>
    <w:rsid w:val="00480B98"/>
    <w:rsid w:val="004829EC"/>
    <w:rsid w:val="0049068A"/>
    <w:rsid w:val="00491E6D"/>
    <w:rsid w:val="004A3FC8"/>
    <w:rsid w:val="004B01E4"/>
    <w:rsid w:val="004B51A5"/>
    <w:rsid w:val="004B7B11"/>
    <w:rsid w:val="004C4E62"/>
    <w:rsid w:val="004D6F89"/>
    <w:rsid w:val="004E78B5"/>
    <w:rsid w:val="004F0B36"/>
    <w:rsid w:val="004F3269"/>
    <w:rsid w:val="00501879"/>
    <w:rsid w:val="00503B57"/>
    <w:rsid w:val="0051007D"/>
    <w:rsid w:val="00510BA7"/>
    <w:rsid w:val="00512BE5"/>
    <w:rsid w:val="005145BB"/>
    <w:rsid w:val="00517AC4"/>
    <w:rsid w:val="00517BFD"/>
    <w:rsid w:val="00517D1D"/>
    <w:rsid w:val="0052204B"/>
    <w:rsid w:val="00530C16"/>
    <w:rsid w:val="005375D6"/>
    <w:rsid w:val="005406AC"/>
    <w:rsid w:val="0054471F"/>
    <w:rsid w:val="005461F3"/>
    <w:rsid w:val="00547118"/>
    <w:rsid w:val="00547AC9"/>
    <w:rsid w:val="00576414"/>
    <w:rsid w:val="00592740"/>
    <w:rsid w:val="00596269"/>
    <w:rsid w:val="005A07D8"/>
    <w:rsid w:val="005A7803"/>
    <w:rsid w:val="005C2BDD"/>
    <w:rsid w:val="005C2CF8"/>
    <w:rsid w:val="005C47A8"/>
    <w:rsid w:val="005C5261"/>
    <w:rsid w:val="005D71C4"/>
    <w:rsid w:val="005E406E"/>
    <w:rsid w:val="005F0036"/>
    <w:rsid w:val="005F02BB"/>
    <w:rsid w:val="005F0929"/>
    <w:rsid w:val="005F5F51"/>
    <w:rsid w:val="005F68B9"/>
    <w:rsid w:val="00601C69"/>
    <w:rsid w:val="00613D1B"/>
    <w:rsid w:val="00616BCC"/>
    <w:rsid w:val="0061733C"/>
    <w:rsid w:val="00624261"/>
    <w:rsid w:val="00625FA4"/>
    <w:rsid w:val="00630307"/>
    <w:rsid w:val="00640ADC"/>
    <w:rsid w:val="00646AF9"/>
    <w:rsid w:val="006513B8"/>
    <w:rsid w:val="00656AB8"/>
    <w:rsid w:val="006609B6"/>
    <w:rsid w:val="00664543"/>
    <w:rsid w:val="00664CB4"/>
    <w:rsid w:val="00672FB3"/>
    <w:rsid w:val="0068699D"/>
    <w:rsid w:val="006A353C"/>
    <w:rsid w:val="006A56FC"/>
    <w:rsid w:val="006B2D1C"/>
    <w:rsid w:val="006C1E1F"/>
    <w:rsid w:val="006D0CCD"/>
    <w:rsid w:val="006D2896"/>
    <w:rsid w:val="006E4F3A"/>
    <w:rsid w:val="006E6FB5"/>
    <w:rsid w:val="007050F5"/>
    <w:rsid w:val="00710A08"/>
    <w:rsid w:val="0071140F"/>
    <w:rsid w:val="00722C8F"/>
    <w:rsid w:val="007275AF"/>
    <w:rsid w:val="00754608"/>
    <w:rsid w:val="00763145"/>
    <w:rsid w:val="00763DE9"/>
    <w:rsid w:val="00767239"/>
    <w:rsid w:val="00771ABB"/>
    <w:rsid w:val="00771B88"/>
    <w:rsid w:val="00781234"/>
    <w:rsid w:val="00782D55"/>
    <w:rsid w:val="00793CB9"/>
    <w:rsid w:val="007A279F"/>
    <w:rsid w:val="007B7AF3"/>
    <w:rsid w:val="007C3639"/>
    <w:rsid w:val="007E35C1"/>
    <w:rsid w:val="007F26D3"/>
    <w:rsid w:val="008073EB"/>
    <w:rsid w:val="008107CF"/>
    <w:rsid w:val="008260CB"/>
    <w:rsid w:val="00832053"/>
    <w:rsid w:val="00843027"/>
    <w:rsid w:val="0085307E"/>
    <w:rsid w:val="00874EBC"/>
    <w:rsid w:val="008817C0"/>
    <w:rsid w:val="00887FAF"/>
    <w:rsid w:val="00891085"/>
    <w:rsid w:val="008C2C99"/>
    <w:rsid w:val="008D0272"/>
    <w:rsid w:val="008E3843"/>
    <w:rsid w:val="008E4000"/>
    <w:rsid w:val="009050BF"/>
    <w:rsid w:val="00910480"/>
    <w:rsid w:val="00912013"/>
    <w:rsid w:val="0091430B"/>
    <w:rsid w:val="009211D3"/>
    <w:rsid w:val="00922FCF"/>
    <w:rsid w:val="00927EC0"/>
    <w:rsid w:val="00933173"/>
    <w:rsid w:val="00934124"/>
    <w:rsid w:val="00937AF2"/>
    <w:rsid w:val="00952A27"/>
    <w:rsid w:val="00971EC3"/>
    <w:rsid w:val="00974CB6"/>
    <w:rsid w:val="00986215"/>
    <w:rsid w:val="009934E3"/>
    <w:rsid w:val="00995EFC"/>
    <w:rsid w:val="009A1952"/>
    <w:rsid w:val="009A28DF"/>
    <w:rsid w:val="009B5A88"/>
    <w:rsid w:val="009C4FFE"/>
    <w:rsid w:val="009D7E97"/>
    <w:rsid w:val="009E52CA"/>
    <w:rsid w:val="009F032F"/>
    <w:rsid w:val="009F0C6C"/>
    <w:rsid w:val="009F43BC"/>
    <w:rsid w:val="009F72E5"/>
    <w:rsid w:val="00A03FFA"/>
    <w:rsid w:val="00A04942"/>
    <w:rsid w:val="00A04B52"/>
    <w:rsid w:val="00A1469B"/>
    <w:rsid w:val="00A14EF5"/>
    <w:rsid w:val="00A22336"/>
    <w:rsid w:val="00A26D0F"/>
    <w:rsid w:val="00A346E7"/>
    <w:rsid w:val="00A35E46"/>
    <w:rsid w:val="00A42D9B"/>
    <w:rsid w:val="00A55D1D"/>
    <w:rsid w:val="00A62877"/>
    <w:rsid w:val="00A63CF2"/>
    <w:rsid w:val="00A63D7C"/>
    <w:rsid w:val="00A7514C"/>
    <w:rsid w:val="00A77F32"/>
    <w:rsid w:val="00A8122C"/>
    <w:rsid w:val="00A82F5F"/>
    <w:rsid w:val="00A83312"/>
    <w:rsid w:val="00A948ED"/>
    <w:rsid w:val="00AB6583"/>
    <w:rsid w:val="00AE24D5"/>
    <w:rsid w:val="00AE41C4"/>
    <w:rsid w:val="00B03742"/>
    <w:rsid w:val="00B32F9E"/>
    <w:rsid w:val="00B40F09"/>
    <w:rsid w:val="00B41544"/>
    <w:rsid w:val="00B41758"/>
    <w:rsid w:val="00B41BCC"/>
    <w:rsid w:val="00B420D5"/>
    <w:rsid w:val="00B52CBC"/>
    <w:rsid w:val="00B75B20"/>
    <w:rsid w:val="00B77106"/>
    <w:rsid w:val="00B77B78"/>
    <w:rsid w:val="00B8142F"/>
    <w:rsid w:val="00B86D3A"/>
    <w:rsid w:val="00B86F20"/>
    <w:rsid w:val="00B8700A"/>
    <w:rsid w:val="00BB01B2"/>
    <w:rsid w:val="00BB13C1"/>
    <w:rsid w:val="00BB1BA1"/>
    <w:rsid w:val="00BD2856"/>
    <w:rsid w:val="00BD767D"/>
    <w:rsid w:val="00C051D3"/>
    <w:rsid w:val="00C05C55"/>
    <w:rsid w:val="00C076C6"/>
    <w:rsid w:val="00C1247F"/>
    <w:rsid w:val="00C137DA"/>
    <w:rsid w:val="00C27BE4"/>
    <w:rsid w:val="00C308AF"/>
    <w:rsid w:val="00C3113F"/>
    <w:rsid w:val="00C32272"/>
    <w:rsid w:val="00C4536F"/>
    <w:rsid w:val="00C46ADA"/>
    <w:rsid w:val="00C54B18"/>
    <w:rsid w:val="00C74456"/>
    <w:rsid w:val="00C85025"/>
    <w:rsid w:val="00C918BD"/>
    <w:rsid w:val="00C94E59"/>
    <w:rsid w:val="00CA680A"/>
    <w:rsid w:val="00CC6B5D"/>
    <w:rsid w:val="00CE0951"/>
    <w:rsid w:val="00CE5A1A"/>
    <w:rsid w:val="00CF68A2"/>
    <w:rsid w:val="00D04F1F"/>
    <w:rsid w:val="00D16456"/>
    <w:rsid w:val="00D2277B"/>
    <w:rsid w:val="00D31B15"/>
    <w:rsid w:val="00D3779E"/>
    <w:rsid w:val="00D40C80"/>
    <w:rsid w:val="00D441D8"/>
    <w:rsid w:val="00D66D1F"/>
    <w:rsid w:val="00D67443"/>
    <w:rsid w:val="00D679E5"/>
    <w:rsid w:val="00D7067F"/>
    <w:rsid w:val="00D74391"/>
    <w:rsid w:val="00D83360"/>
    <w:rsid w:val="00D8598D"/>
    <w:rsid w:val="00D93A76"/>
    <w:rsid w:val="00D9672C"/>
    <w:rsid w:val="00DA0DF7"/>
    <w:rsid w:val="00DA4257"/>
    <w:rsid w:val="00DB3F7A"/>
    <w:rsid w:val="00DB7B85"/>
    <w:rsid w:val="00DC3955"/>
    <w:rsid w:val="00DC450C"/>
    <w:rsid w:val="00DC658F"/>
    <w:rsid w:val="00DD31B4"/>
    <w:rsid w:val="00DF7645"/>
    <w:rsid w:val="00E047AD"/>
    <w:rsid w:val="00E127A1"/>
    <w:rsid w:val="00E2028E"/>
    <w:rsid w:val="00E20E6D"/>
    <w:rsid w:val="00E355C2"/>
    <w:rsid w:val="00E53B95"/>
    <w:rsid w:val="00E61986"/>
    <w:rsid w:val="00E6769E"/>
    <w:rsid w:val="00E67A05"/>
    <w:rsid w:val="00E67C7E"/>
    <w:rsid w:val="00E74AB7"/>
    <w:rsid w:val="00E76B09"/>
    <w:rsid w:val="00E81FE1"/>
    <w:rsid w:val="00E825C7"/>
    <w:rsid w:val="00E8659D"/>
    <w:rsid w:val="00E90203"/>
    <w:rsid w:val="00E93607"/>
    <w:rsid w:val="00EA0405"/>
    <w:rsid w:val="00EB648D"/>
    <w:rsid w:val="00EC2757"/>
    <w:rsid w:val="00ED6291"/>
    <w:rsid w:val="00EE33B5"/>
    <w:rsid w:val="00EE42CD"/>
    <w:rsid w:val="00EF4C32"/>
    <w:rsid w:val="00EF69CD"/>
    <w:rsid w:val="00F02126"/>
    <w:rsid w:val="00F045BB"/>
    <w:rsid w:val="00F060E9"/>
    <w:rsid w:val="00F07AB3"/>
    <w:rsid w:val="00F262AB"/>
    <w:rsid w:val="00F36A15"/>
    <w:rsid w:val="00F372E2"/>
    <w:rsid w:val="00F37FFE"/>
    <w:rsid w:val="00F40D5B"/>
    <w:rsid w:val="00F67211"/>
    <w:rsid w:val="00F703B1"/>
    <w:rsid w:val="00F7284D"/>
    <w:rsid w:val="00F8445E"/>
    <w:rsid w:val="00F92CC4"/>
    <w:rsid w:val="00F9432B"/>
    <w:rsid w:val="00F97A6C"/>
    <w:rsid w:val="00FA00C6"/>
    <w:rsid w:val="00FC267A"/>
    <w:rsid w:val="00FC4A6C"/>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7988E-9C1D-DB48-94B1-C6FA1A73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B01B2"/>
    <w:pPr>
      <w:numPr>
        <w:numId w:val="1"/>
      </w:numPr>
    </w:pPr>
    <w:rPr>
      <w:rFonts w:ascii="Times" w:hAnsi="Times" w:cs="Times"/>
    </w:rPr>
  </w:style>
  <w:style w:type="paragraph" w:styleId="ListBullet2">
    <w:name w:val="List Bullet 2"/>
    <w:basedOn w:val="Normal"/>
    <w:autoRedefine/>
    <w:rsid w:val="00BB01B2"/>
    <w:pPr>
      <w:numPr>
        <w:numId w:val="2"/>
      </w:numPr>
    </w:pPr>
    <w:rPr>
      <w:rFonts w:ascii="Times" w:hAnsi="Times" w:cs="Times"/>
    </w:rPr>
  </w:style>
  <w:style w:type="paragraph" w:styleId="ListBullet3">
    <w:name w:val="List Bullet 3"/>
    <w:basedOn w:val="Normal"/>
    <w:autoRedefine/>
    <w:rsid w:val="00BB01B2"/>
    <w:pPr>
      <w:numPr>
        <w:numId w:val="3"/>
      </w:numPr>
    </w:pPr>
    <w:rPr>
      <w:rFonts w:ascii="Times" w:hAnsi="Times" w:cs="Times"/>
    </w:rPr>
  </w:style>
  <w:style w:type="paragraph" w:styleId="ListBullet4">
    <w:name w:val="List Bullet 4"/>
    <w:basedOn w:val="Normal"/>
    <w:autoRedefine/>
    <w:rsid w:val="00BB01B2"/>
    <w:pPr>
      <w:numPr>
        <w:numId w:val="4"/>
      </w:numPr>
    </w:pPr>
    <w:rPr>
      <w:rFonts w:ascii="Times" w:hAnsi="Times" w:cs="Times"/>
    </w:rPr>
  </w:style>
  <w:style w:type="paragraph" w:styleId="ListBullet5">
    <w:name w:val="List Bullet 5"/>
    <w:basedOn w:val="Normal"/>
    <w:autoRedefine/>
    <w:rsid w:val="00BB01B2"/>
    <w:pPr>
      <w:numPr>
        <w:numId w:val="5"/>
      </w:numPr>
    </w:pPr>
    <w:rPr>
      <w:rFonts w:ascii="Times" w:hAnsi="Times" w:cs="Times"/>
    </w:rPr>
  </w:style>
  <w:style w:type="paragraph" w:styleId="ListNumber">
    <w:name w:val="List Number"/>
    <w:basedOn w:val="Normal"/>
    <w:rsid w:val="00BB01B2"/>
    <w:pPr>
      <w:numPr>
        <w:numId w:val="6"/>
      </w:numPr>
    </w:pPr>
    <w:rPr>
      <w:rFonts w:ascii="Times" w:hAnsi="Times" w:cs="Times"/>
    </w:rPr>
  </w:style>
  <w:style w:type="paragraph" w:styleId="ListNumber2">
    <w:name w:val="List Number 2"/>
    <w:basedOn w:val="Normal"/>
    <w:rsid w:val="00BB01B2"/>
    <w:pPr>
      <w:numPr>
        <w:numId w:val="7"/>
      </w:numPr>
    </w:pPr>
    <w:rPr>
      <w:rFonts w:ascii="Times" w:hAnsi="Times" w:cs="Times"/>
    </w:rPr>
  </w:style>
  <w:style w:type="paragraph" w:styleId="ListNumber3">
    <w:name w:val="List Number 3"/>
    <w:basedOn w:val="Normal"/>
    <w:rsid w:val="00BB01B2"/>
    <w:pPr>
      <w:numPr>
        <w:numId w:val="8"/>
      </w:numPr>
    </w:pPr>
    <w:rPr>
      <w:rFonts w:ascii="Times" w:hAnsi="Times" w:cs="Times"/>
    </w:rPr>
  </w:style>
  <w:style w:type="paragraph" w:styleId="ListNumber4">
    <w:name w:val="List Number 4"/>
    <w:basedOn w:val="Normal"/>
    <w:rsid w:val="00BB01B2"/>
    <w:pPr>
      <w:numPr>
        <w:numId w:val="9"/>
      </w:numPr>
    </w:pPr>
    <w:rPr>
      <w:rFonts w:ascii="Times" w:hAnsi="Times" w:cs="Times"/>
    </w:rPr>
  </w:style>
  <w:style w:type="paragraph" w:styleId="ListNumber5">
    <w:name w:val="List Number 5"/>
    <w:basedOn w:val="Normal"/>
    <w:rsid w:val="00BB01B2"/>
    <w:pPr>
      <w:numPr>
        <w:numId w:val="10"/>
      </w:numPr>
    </w:pPr>
    <w:rPr>
      <w:rFonts w:ascii="Times" w:hAnsi="Times" w:cs="Times"/>
    </w:rPr>
  </w:style>
  <w:style w:type="paragraph" w:styleId="BodyTextIndent">
    <w:name w:val="Body Text Indent"/>
    <w:basedOn w:val="Normal"/>
    <w:link w:val="BodyTextIndentChar"/>
    <w:rsid w:val="00BB01B2"/>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BB01B2"/>
    <w:pPr>
      <w:autoSpaceDE/>
      <w:autoSpaceDN/>
      <w:spacing w:before="100" w:beforeAutospacing="1" w:after="100" w:afterAutospacing="1"/>
    </w:pPr>
    <w:rPr>
      <w:rFonts w:eastAsia="Arial Unicode MS"/>
    </w:rPr>
  </w:style>
  <w:style w:type="paragraph" w:styleId="Header">
    <w:name w:val="header"/>
    <w:basedOn w:val="Normal"/>
    <w:rsid w:val="00BB01B2"/>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BB01B2"/>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BB01B2"/>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efault">
    <w:name w:val="Default"/>
    <w:rsid w:val="00971EC3"/>
    <w:pPr>
      <w:autoSpaceDE w:val="0"/>
      <w:autoSpaceDN w:val="0"/>
      <w:adjustRightInd w:val="0"/>
    </w:pPr>
    <w:rPr>
      <w:rFonts w:ascii="Arial" w:hAnsi="Arial" w:cs="Arial"/>
      <w:color w:val="000000"/>
      <w:sz w:val="24"/>
      <w:szCs w:val="24"/>
    </w:rPr>
  </w:style>
  <w:style w:type="character" w:customStyle="1" w:styleId="rprtid1">
    <w:name w:val="rprtid1"/>
    <w:basedOn w:val="DefaultParagraphFont"/>
    <w:rsid w:val="00F8445E"/>
    <w:rPr>
      <w:vanish w:val="0"/>
      <w:webHidden w:val="0"/>
      <w:color w:val="696969"/>
      <w:specVanish w:val="0"/>
    </w:rPr>
  </w:style>
  <w:style w:type="character" w:customStyle="1" w:styleId="jrnl">
    <w:name w:val="jrnl"/>
    <w:basedOn w:val="DefaultParagraphFont"/>
    <w:rsid w:val="00F8445E"/>
  </w:style>
  <w:style w:type="character" w:customStyle="1" w:styleId="pmcid">
    <w:name w:val="pmcid"/>
    <w:basedOn w:val="DefaultParagraphFont"/>
    <w:rsid w:val="00F8445E"/>
  </w:style>
  <w:style w:type="paragraph" w:styleId="ListParagraph">
    <w:name w:val="List Paragraph"/>
    <w:basedOn w:val="Normal"/>
    <w:uiPriority w:val="34"/>
    <w:qFormat/>
    <w:rsid w:val="00B77B78"/>
    <w:pPr>
      <w:ind w:left="720"/>
      <w:contextualSpacing/>
    </w:pPr>
  </w:style>
  <w:style w:type="character" w:styleId="FollowedHyperlink">
    <w:name w:val="FollowedHyperlink"/>
    <w:basedOn w:val="DefaultParagraphFont"/>
    <w:rsid w:val="00C32272"/>
    <w:rPr>
      <w:color w:val="954F72" w:themeColor="followedHyperlink"/>
      <w:u w:val="single"/>
    </w:rPr>
  </w:style>
  <w:style w:type="character" w:customStyle="1" w:styleId="apple-converted-space">
    <w:name w:val="apple-converted-space"/>
    <w:basedOn w:val="DefaultParagraphFont"/>
    <w:rsid w:val="006D0CCD"/>
  </w:style>
  <w:style w:type="character" w:customStyle="1" w:styleId="it">
    <w:name w:val="it"/>
    <w:basedOn w:val="DefaultParagraphFont"/>
    <w:rsid w:val="0015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4604">
      <w:bodyDiv w:val="1"/>
      <w:marLeft w:val="0"/>
      <w:marRight w:val="0"/>
      <w:marTop w:val="0"/>
      <w:marBottom w:val="0"/>
      <w:divBdr>
        <w:top w:val="none" w:sz="0" w:space="0" w:color="auto"/>
        <w:left w:val="none" w:sz="0" w:space="0" w:color="auto"/>
        <w:bottom w:val="none" w:sz="0" w:space="0" w:color="auto"/>
        <w:right w:val="none" w:sz="0" w:space="0" w:color="auto"/>
      </w:divBdr>
    </w:div>
    <w:div w:id="13943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bi.nlm.nih.gov/myncbi/sean.prigge.1/bibliography/publi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12196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Microsoft Office User</cp:lastModifiedBy>
  <cp:revision>2</cp:revision>
  <cp:lastPrinted>2011-03-11T19:43:00Z</cp:lastPrinted>
  <dcterms:created xsi:type="dcterms:W3CDTF">2019-09-13T18:04:00Z</dcterms:created>
  <dcterms:modified xsi:type="dcterms:W3CDTF">2019-09-13T18:04:00Z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